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471" w:rsidRPr="00545471" w:rsidRDefault="00545471" w:rsidP="00E04F2C">
      <w:pPr>
        <w:autoSpaceDE w:val="0"/>
        <w:autoSpaceDN w:val="0"/>
        <w:adjustRightInd w:val="0"/>
        <w:spacing w:after="0"/>
        <w:jc w:val="center"/>
        <w:rPr>
          <w:rFonts w:ascii="Arial" w:hAnsi="Arial" w:cs="Arial"/>
          <w:b/>
          <w:bCs/>
          <w:color w:val="000000"/>
          <w:sz w:val="24"/>
          <w:szCs w:val="20"/>
        </w:rPr>
      </w:pPr>
      <w:r w:rsidRPr="00545471">
        <w:rPr>
          <w:rFonts w:ascii="Arial" w:hAnsi="Arial" w:cs="Arial"/>
          <w:b/>
          <w:bCs/>
          <w:color w:val="000000"/>
          <w:sz w:val="24"/>
          <w:szCs w:val="20"/>
        </w:rPr>
        <w:t xml:space="preserve">Comentarios y recomendaciones desde la sociedad civil a la </w:t>
      </w:r>
    </w:p>
    <w:p w:rsidR="00545471" w:rsidRPr="00545471" w:rsidRDefault="00545471" w:rsidP="00E04F2C">
      <w:pPr>
        <w:autoSpaceDE w:val="0"/>
        <w:autoSpaceDN w:val="0"/>
        <w:adjustRightInd w:val="0"/>
        <w:spacing w:after="0"/>
        <w:jc w:val="center"/>
        <w:rPr>
          <w:rFonts w:ascii="Arial" w:hAnsi="Arial" w:cs="Arial"/>
          <w:b/>
          <w:bCs/>
          <w:color w:val="000000"/>
          <w:sz w:val="24"/>
          <w:szCs w:val="20"/>
        </w:rPr>
      </w:pPr>
      <w:r w:rsidRPr="00545471">
        <w:rPr>
          <w:rFonts w:ascii="Arial" w:hAnsi="Arial" w:cs="Arial"/>
          <w:b/>
          <w:bCs/>
          <w:color w:val="000000"/>
          <w:sz w:val="24"/>
          <w:szCs w:val="20"/>
        </w:rPr>
        <w:t>V</w:t>
      </w:r>
      <w:r w:rsidR="009D62F5">
        <w:rPr>
          <w:rFonts w:ascii="Arial" w:hAnsi="Arial" w:cs="Arial"/>
          <w:b/>
          <w:bCs/>
          <w:color w:val="000000"/>
          <w:sz w:val="24"/>
          <w:szCs w:val="20"/>
        </w:rPr>
        <w:t>ersión preliminar del Marco de A</w:t>
      </w:r>
      <w:r w:rsidRPr="00545471">
        <w:rPr>
          <w:rFonts w:ascii="Arial" w:hAnsi="Arial" w:cs="Arial"/>
          <w:b/>
          <w:bCs/>
          <w:color w:val="000000"/>
          <w:sz w:val="24"/>
          <w:szCs w:val="20"/>
        </w:rPr>
        <w:t>cción de Marrakech, CONFINTEA VII</w:t>
      </w:r>
    </w:p>
    <w:p w:rsidR="00545471" w:rsidRPr="00545471" w:rsidRDefault="00545471" w:rsidP="00545471">
      <w:pPr>
        <w:widowControl w:val="0"/>
        <w:pBdr>
          <w:top w:val="nil"/>
          <w:left w:val="nil"/>
          <w:bottom w:val="nil"/>
          <w:right w:val="nil"/>
          <w:between w:val="nil"/>
        </w:pBdr>
        <w:spacing w:after="120" w:line="240" w:lineRule="auto"/>
        <w:rPr>
          <w:rFonts w:ascii="Arial" w:hAnsi="Arial" w:cs="Arial"/>
          <w:b/>
          <w:bCs/>
          <w:szCs w:val="20"/>
        </w:rPr>
      </w:pPr>
    </w:p>
    <w:p w:rsidR="00545471" w:rsidRPr="00545471" w:rsidRDefault="00545471" w:rsidP="00545471">
      <w:pPr>
        <w:widowControl w:val="0"/>
        <w:pBdr>
          <w:top w:val="nil"/>
          <w:left w:val="nil"/>
          <w:bottom w:val="nil"/>
          <w:right w:val="nil"/>
          <w:between w:val="nil"/>
        </w:pBdr>
        <w:spacing w:after="120" w:line="240" w:lineRule="auto"/>
        <w:rPr>
          <w:rFonts w:ascii="Arial" w:hAnsi="Arial" w:cs="Arial"/>
          <w:b/>
          <w:bCs/>
          <w:szCs w:val="20"/>
          <w:lang w:val="es-EC"/>
        </w:rPr>
      </w:pPr>
      <w:r w:rsidRPr="00545471">
        <w:rPr>
          <w:rFonts w:ascii="Arial" w:hAnsi="Arial" w:cs="Arial"/>
          <w:b/>
          <w:bCs/>
          <w:szCs w:val="20"/>
          <w:lang w:val="es-EC"/>
        </w:rPr>
        <w:t>Antecedentes</w:t>
      </w:r>
    </w:p>
    <w:p w:rsidR="00795B45" w:rsidRDefault="00795B45" w:rsidP="009D62F5">
      <w:pPr>
        <w:widowControl w:val="0"/>
        <w:pBdr>
          <w:top w:val="nil"/>
          <w:left w:val="nil"/>
          <w:bottom w:val="nil"/>
          <w:right w:val="nil"/>
          <w:between w:val="nil"/>
        </w:pBdr>
        <w:spacing w:after="120"/>
        <w:jc w:val="both"/>
        <w:rPr>
          <w:rFonts w:ascii="Arial" w:hAnsi="Arial" w:cs="Arial"/>
          <w:color w:val="000000"/>
          <w:sz w:val="20"/>
          <w:szCs w:val="20"/>
        </w:rPr>
      </w:pPr>
      <w:r>
        <w:rPr>
          <w:rFonts w:ascii="Arial" w:hAnsi="Arial" w:cs="Arial"/>
          <w:color w:val="000000"/>
          <w:sz w:val="20"/>
          <w:szCs w:val="20"/>
          <w:lang w:val="es-EC"/>
        </w:rPr>
        <w:t>L</w:t>
      </w:r>
      <w:r w:rsidR="009D62F5" w:rsidRPr="009D62F5">
        <w:rPr>
          <w:rFonts w:ascii="Arial" w:hAnsi="Arial" w:cs="Arial"/>
          <w:color w:val="000000"/>
          <w:sz w:val="20"/>
          <w:szCs w:val="20"/>
        </w:rPr>
        <w:t xml:space="preserve">a </w:t>
      </w:r>
      <w:r>
        <w:rPr>
          <w:rFonts w:ascii="Arial" w:hAnsi="Arial" w:cs="Arial"/>
          <w:color w:val="000000"/>
          <w:sz w:val="20"/>
          <w:szCs w:val="20"/>
        </w:rPr>
        <w:t xml:space="preserve">realización de la </w:t>
      </w:r>
      <w:r w:rsidR="009D62F5" w:rsidRPr="009D62F5">
        <w:rPr>
          <w:rFonts w:ascii="Arial" w:hAnsi="Arial" w:cs="Arial"/>
          <w:color w:val="000000"/>
          <w:sz w:val="20"/>
          <w:szCs w:val="20"/>
        </w:rPr>
        <w:t xml:space="preserve">Séptima Conferencia Internacional de Educación de Adultos (CONFINTEA VII) </w:t>
      </w:r>
      <w:r>
        <w:rPr>
          <w:rFonts w:ascii="Arial" w:hAnsi="Arial" w:cs="Arial"/>
          <w:color w:val="000000"/>
          <w:sz w:val="20"/>
          <w:szCs w:val="20"/>
        </w:rPr>
        <w:t>“</w:t>
      </w:r>
      <w:r w:rsidRPr="009D62F5">
        <w:rPr>
          <w:rFonts w:ascii="Arial" w:hAnsi="Arial" w:cs="Arial"/>
          <w:color w:val="000000"/>
          <w:sz w:val="20"/>
          <w:szCs w:val="20"/>
        </w:rPr>
        <w:t>Aprendizaje y educación de adultos para el desarrollo sostenible – una agenda transformadora</w:t>
      </w:r>
      <w:r>
        <w:rPr>
          <w:rFonts w:ascii="Arial" w:hAnsi="Arial" w:cs="Arial"/>
          <w:color w:val="000000"/>
          <w:sz w:val="20"/>
          <w:szCs w:val="20"/>
        </w:rPr>
        <w:t xml:space="preserve">”, está confirmada para el 15,16 y 17 de junio de 2022, en Marrakech,  Marruecos. Este evento, </w:t>
      </w:r>
      <w:r>
        <w:rPr>
          <w:rFonts w:ascii="Arial" w:hAnsi="Arial" w:cs="Arial"/>
          <w:bCs/>
          <w:sz w:val="20"/>
          <w:szCs w:val="20"/>
          <w:lang w:val="es-EC"/>
        </w:rPr>
        <w:t>de acuerdo a UNESCO, entidad que convoca y organiza el evento,</w:t>
      </w:r>
      <w:r>
        <w:rPr>
          <w:rFonts w:ascii="Arial" w:hAnsi="Arial" w:cs="Arial"/>
          <w:color w:val="000000"/>
          <w:sz w:val="20"/>
          <w:szCs w:val="20"/>
        </w:rPr>
        <w:t xml:space="preserve"> “</w:t>
      </w:r>
      <w:r w:rsidR="009D62F5" w:rsidRPr="009D62F5">
        <w:rPr>
          <w:rFonts w:ascii="Arial" w:hAnsi="Arial" w:cs="Arial"/>
          <w:color w:val="000000"/>
          <w:sz w:val="20"/>
          <w:szCs w:val="20"/>
        </w:rPr>
        <w:t>reunirá a partes interesadas de todo el mundo para definir el futuro del aprendizaje y la educación de adultos en la próxima década. Como resultado de la conferencia, los participantes adoptarán un nuevo marco de acción, que guiará los esfuerzos de los países para promover el aprendizaje y la educación de adultos durante la próxima década.</w:t>
      </w:r>
      <w:r>
        <w:rPr>
          <w:rFonts w:ascii="Arial" w:hAnsi="Arial" w:cs="Arial"/>
          <w:color w:val="000000"/>
          <w:sz w:val="20"/>
          <w:szCs w:val="20"/>
        </w:rPr>
        <w:t>” Este evento tiene como objetivo, “</w:t>
      </w:r>
      <w:r w:rsidRPr="009D62F5">
        <w:rPr>
          <w:rFonts w:ascii="Arial" w:hAnsi="Arial" w:cs="Arial"/>
          <w:color w:val="000000"/>
          <w:sz w:val="20"/>
          <w:szCs w:val="20"/>
        </w:rPr>
        <w:t>orientar a los Estados miembros de la UNESCO y a las partes interesadas en la promoción del aprendizaje y la educación de adultos (AEA) dentro de una perspectiva de aprendizaje a lo largo de toda la vida.</w:t>
      </w:r>
      <w:r>
        <w:rPr>
          <w:rFonts w:ascii="Arial" w:hAnsi="Arial" w:cs="Arial"/>
          <w:color w:val="000000"/>
          <w:sz w:val="20"/>
          <w:szCs w:val="20"/>
        </w:rPr>
        <w:t>”</w:t>
      </w:r>
    </w:p>
    <w:p w:rsidR="009D62F5" w:rsidRDefault="00795B45" w:rsidP="009D62F5">
      <w:pPr>
        <w:widowControl w:val="0"/>
        <w:pBdr>
          <w:top w:val="nil"/>
          <w:left w:val="nil"/>
          <w:bottom w:val="nil"/>
          <w:right w:val="nil"/>
          <w:between w:val="nil"/>
        </w:pBdr>
        <w:spacing w:after="120"/>
        <w:jc w:val="both"/>
        <w:rPr>
          <w:rFonts w:ascii="Arial" w:hAnsi="Arial" w:cs="Arial"/>
          <w:color w:val="000000"/>
          <w:sz w:val="20"/>
          <w:szCs w:val="20"/>
        </w:rPr>
      </w:pPr>
      <w:r>
        <w:rPr>
          <w:rFonts w:ascii="Arial" w:hAnsi="Arial" w:cs="Arial"/>
          <w:color w:val="000000"/>
          <w:sz w:val="20"/>
          <w:szCs w:val="20"/>
        </w:rPr>
        <w:t xml:space="preserve">Como parte de las actividades preparatorias de la CONFINTEA VII, los organizadores han previsto la realización de una </w:t>
      </w:r>
      <w:hyperlink r:id="rId9" w:tgtFrame="_blank" w:history="1">
        <w:r>
          <w:rPr>
            <w:rFonts w:ascii="Arial" w:hAnsi="Arial" w:cs="Arial"/>
            <w:color w:val="000000"/>
            <w:sz w:val="20"/>
            <w:szCs w:val="20"/>
          </w:rPr>
          <w:t>Consulta P</w:t>
        </w:r>
        <w:r w:rsidR="009D62F5" w:rsidRPr="009D62F5">
          <w:rPr>
            <w:rFonts w:ascii="Arial" w:hAnsi="Arial" w:cs="Arial"/>
            <w:color w:val="000000"/>
            <w:sz w:val="20"/>
            <w:szCs w:val="20"/>
          </w:rPr>
          <w:t xml:space="preserve">ública en línea sobre el anteproyecto del </w:t>
        </w:r>
        <w:r>
          <w:rPr>
            <w:rFonts w:ascii="Arial" w:hAnsi="Arial" w:cs="Arial"/>
            <w:color w:val="000000"/>
            <w:sz w:val="20"/>
            <w:szCs w:val="20"/>
          </w:rPr>
          <w:t>Marco de A</w:t>
        </w:r>
        <w:r w:rsidR="009D62F5" w:rsidRPr="009D62F5">
          <w:rPr>
            <w:rFonts w:ascii="Arial" w:hAnsi="Arial" w:cs="Arial"/>
            <w:color w:val="000000"/>
            <w:sz w:val="20"/>
            <w:szCs w:val="20"/>
          </w:rPr>
          <w:t>cción de Marrakech</w:t>
        </w:r>
      </w:hyperlink>
      <w:r w:rsidR="009D62F5" w:rsidRPr="009D62F5">
        <w:rPr>
          <w:rFonts w:ascii="Arial" w:hAnsi="Arial" w:cs="Arial"/>
          <w:color w:val="000000"/>
          <w:sz w:val="20"/>
          <w:szCs w:val="20"/>
        </w:rPr>
        <w:t xml:space="preserve">. </w:t>
      </w:r>
      <w:r>
        <w:rPr>
          <w:rFonts w:ascii="Arial" w:hAnsi="Arial" w:cs="Arial"/>
          <w:color w:val="000000"/>
          <w:sz w:val="20"/>
          <w:szCs w:val="20"/>
        </w:rPr>
        <w:t>Las respuesta</w:t>
      </w:r>
      <w:r w:rsidR="001F0440">
        <w:rPr>
          <w:rFonts w:ascii="Arial" w:hAnsi="Arial" w:cs="Arial"/>
          <w:color w:val="000000"/>
          <w:sz w:val="20"/>
          <w:szCs w:val="20"/>
        </w:rPr>
        <w:t>s al formulario contribuirán a</w:t>
      </w:r>
      <w:r w:rsidR="009D62F5" w:rsidRPr="009D62F5">
        <w:rPr>
          <w:rFonts w:ascii="Arial" w:hAnsi="Arial" w:cs="Arial"/>
          <w:color w:val="000000"/>
          <w:sz w:val="20"/>
          <w:szCs w:val="20"/>
        </w:rPr>
        <w:t xml:space="preserve">l </w:t>
      </w:r>
      <w:r w:rsidR="001F0440">
        <w:rPr>
          <w:rFonts w:ascii="Arial" w:hAnsi="Arial" w:cs="Arial"/>
          <w:color w:val="000000"/>
          <w:sz w:val="20"/>
          <w:szCs w:val="20"/>
        </w:rPr>
        <w:t>“</w:t>
      </w:r>
      <w:r w:rsidR="009D62F5" w:rsidRPr="009D62F5">
        <w:rPr>
          <w:rFonts w:ascii="Arial" w:hAnsi="Arial" w:cs="Arial"/>
          <w:color w:val="000000"/>
          <w:sz w:val="20"/>
          <w:szCs w:val="20"/>
        </w:rPr>
        <w:t>anteproyecto del marco de acción de Marrakech para el aprendiz</w:t>
      </w:r>
      <w:r w:rsidR="00E04F2C">
        <w:rPr>
          <w:rFonts w:ascii="Arial" w:hAnsi="Arial" w:cs="Arial"/>
          <w:color w:val="000000"/>
          <w:sz w:val="20"/>
          <w:szCs w:val="20"/>
        </w:rPr>
        <w:t>aje y la educación de adultos…” Esta encu</w:t>
      </w:r>
      <w:r w:rsidR="001F0440">
        <w:rPr>
          <w:rFonts w:ascii="Arial" w:hAnsi="Arial" w:cs="Arial"/>
          <w:color w:val="000000"/>
          <w:sz w:val="20"/>
          <w:szCs w:val="20"/>
        </w:rPr>
        <w:t>esta si bien esta predeterminada</w:t>
      </w:r>
      <w:r w:rsidR="00E04F2C">
        <w:rPr>
          <w:rFonts w:ascii="Arial" w:hAnsi="Arial" w:cs="Arial"/>
          <w:color w:val="000000"/>
          <w:sz w:val="20"/>
          <w:szCs w:val="20"/>
        </w:rPr>
        <w:t xml:space="preserve"> por las preguntas del formulario de la Consulta</w:t>
      </w:r>
      <w:r w:rsidR="001F0440">
        <w:rPr>
          <w:rFonts w:ascii="Arial" w:hAnsi="Arial" w:cs="Arial"/>
          <w:color w:val="000000"/>
          <w:sz w:val="20"/>
          <w:szCs w:val="20"/>
        </w:rPr>
        <w:t xml:space="preserve">, está abierta </w:t>
      </w:r>
      <w:r w:rsidR="00E04F2C">
        <w:rPr>
          <w:rFonts w:ascii="Arial" w:hAnsi="Arial" w:cs="Arial"/>
          <w:color w:val="000000"/>
          <w:sz w:val="20"/>
          <w:szCs w:val="20"/>
        </w:rPr>
        <w:t xml:space="preserve">a la participación de todas las organizaciones e instituciones que desarrollan actividades vinculadas a la Educación de Personas Jóvenes y Adultas (EPJA). </w:t>
      </w:r>
      <w:r w:rsidR="009D62F5" w:rsidRPr="009D62F5">
        <w:rPr>
          <w:rFonts w:ascii="Arial" w:hAnsi="Arial" w:cs="Arial"/>
          <w:color w:val="000000"/>
          <w:sz w:val="20"/>
          <w:szCs w:val="20"/>
        </w:rPr>
        <w:t>La encuesta permanecerá abierta para su realización hasta 13 de abril de 2022</w:t>
      </w:r>
      <w:r w:rsidR="00E04F2C">
        <w:rPr>
          <w:rFonts w:ascii="Arial" w:hAnsi="Arial" w:cs="Arial"/>
          <w:color w:val="000000"/>
          <w:sz w:val="20"/>
          <w:szCs w:val="20"/>
        </w:rPr>
        <w:t xml:space="preserve">, </w:t>
      </w:r>
      <w:r w:rsidR="001F0440">
        <w:rPr>
          <w:rFonts w:ascii="Arial" w:hAnsi="Arial" w:cs="Arial"/>
          <w:color w:val="000000"/>
          <w:sz w:val="20"/>
          <w:szCs w:val="20"/>
        </w:rPr>
        <w:t xml:space="preserve">esta convocatoria </w:t>
      </w:r>
      <w:r w:rsidR="00E04F2C">
        <w:rPr>
          <w:rFonts w:ascii="Arial" w:hAnsi="Arial" w:cs="Arial"/>
          <w:color w:val="000000"/>
          <w:sz w:val="20"/>
          <w:szCs w:val="20"/>
        </w:rPr>
        <w:t>consti</w:t>
      </w:r>
      <w:r w:rsidR="001F0440">
        <w:rPr>
          <w:rFonts w:ascii="Arial" w:hAnsi="Arial" w:cs="Arial"/>
          <w:color w:val="000000"/>
          <w:sz w:val="20"/>
          <w:szCs w:val="20"/>
        </w:rPr>
        <w:t>tuye la oportunidad de expresar</w:t>
      </w:r>
      <w:r w:rsidR="00E04F2C">
        <w:rPr>
          <w:rFonts w:ascii="Arial" w:hAnsi="Arial" w:cs="Arial"/>
          <w:color w:val="000000"/>
          <w:sz w:val="20"/>
          <w:szCs w:val="20"/>
        </w:rPr>
        <w:t xml:space="preserve"> recomendaciones sobre el futuro de la EPJA</w:t>
      </w:r>
      <w:r w:rsidR="001F0440" w:rsidRPr="001F0440">
        <w:rPr>
          <w:rFonts w:ascii="Arial" w:hAnsi="Arial" w:cs="Arial"/>
          <w:color w:val="000000"/>
          <w:sz w:val="20"/>
          <w:szCs w:val="20"/>
        </w:rPr>
        <w:t xml:space="preserve"> </w:t>
      </w:r>
      <w:r w:rsidR="001F0440">
        <w:rPr>
          <w:rFonts w:ascii="Arial" w:hAnsi="Arial" w:cs="Arial"/>
          <w:color w:val="000000"/>
          <w:sz w:val="20"/>
          <w:szCs w:val="20"/>
        </w:rPr>
        <w:t xml:space="preserve">desde </w:t>
      </w:r>
      <w:r w:rsidR="001F0440">
        <w:rPr>
          <w:rFonts w:ascii="Arial" w:hAnsi="Arial" w:cs="Arial"/>
          <w:color w:val="000000"/>
          <w:sz w:val="20"/>
          <w:szCs w:val="20"/>
        </w:rPr>
        <w:t xml:space="preserve">nuestras experiencias, </w:t>
      </w:r>
      <w:r w:rsidR="001F0440">
        <w:rPr>
          <w:rFonts w:ascii="Arial" w:hAnsi="Arial" w:cs="Arial"/>
          <w:color w:val="000000"/>
          <w:sz w:val="20"/>
          <w:szCs w:val="20"/>
        </w:rPr>
        <w:t>estudios y propuestas</w:t>
      </w:r>
      <w:proofErr w:type="gramStart"/>
      <w:r w:rsidR="001F0440">
        <w:rPr>
          <w:rFonts w:ascii="Arial" w:hAnsi="Arial" w:cs="Arial"/>
          <w:color w:val="000000"/>
          <w:sz w:val="20"/>
          <w:szCs w:val="20"/>
        </w:rPr>
        <w:t>,</w:t>
      </w:r>
      <w:r w:rsidR="00E04F2C">
        <w:rPr>
          <w:rFonts w:ascii="Arial" w:hAnsi="Arial" w:cs="Arial"/>
          <w:color w:val="000000"/>
          <w:sz w:val="20"/>
          <w:szCs w:val="20"/>
        </w:rPr>
        <w:t>.</w:t>
      </w:r>
      <w:proofErr w:type="gramEnd"/>
    </w:p>
    <w:p w:rsidR="009D62F5" w:rsidRDefault="00E04F2C" w:rsidP="00E04F2C">
      <w:pPr>
        <w:widowControl w:val="0"/>
        <w:pBdr>
          <w:top w:val="nil"/>
          <w:left w:val="nil"/>
          <w:bottom w:val="nil"/>
          <w:right w:val="nil"/>
          <w:between w:val="nil"/>
        </w:pBdr>
        <w:spacing w:after="120"/>
        <w:jc w:val="both"/>
        <w:rPr>
          <w:rFonts w:ascii="Arial" w:hAnsi="Arial" w:cs="Arial"/>
          <w:color w:val="000000"/>
          <w:sz w:val="20"/>
          <w:szCs w:val="20"/>
        </w:rPr>
      </w:pPr>
      <w:r>
        <w:rPr>
          <w:rFonts w:ascii="Arial" w:hAnsi="Arial" w:cs="Arial"/>
          <w:color w:val="000000"/>
          <w:sz w:val="20"/>
          <w:szCs w:val="20"/>
        </w:rPr>
        <w:t>En es</w:t>
      </w:r>
      <w:r w:rsidR="009E4D41">
        <w:rPr>
          <w:rFonts w:ascii="Arial" w:hAnsi="Arial" w:cs="Arial"/>
          <w:color w:val="000000"/>
          <w:sz w:val="20"/>
          <w:szCs w:val="20"/>
        </w:rPr>
        <w:t xml:space="preserve">e marco de acciones, </w:t>
      </w:r>
      <w:r w:rsidR="009E4D41">
        <w:rPr>
          <w:rFonts w:ascii="Arial" w:hAnsi="Arial" w:cs="Arial"/>
          <w:bCs/>
          <w:sz w:val="20"/>
          <w:szCs w:val="20"/>
          <w:lang w:val="es-EC"/>
        </w:rPr>
        <w:t>desde</w:t>
      </w:r>
      <w:r w:rsidR="00545471">
        <w:rPr>
          <w:rFonts w:ascii="Arial" w:hAnsi="Arial" w:cs="Arial"/>
          <w:bCs/>
          <w:sz w:val="20"/>
          <w:szCs w:val="20"/>
          <w:lang w:val="es-EC"/>
        </w:rPr>
        <w:t xml:space="preserve"> la gestión 2021</w:t>
      </w:r>
      <w:r w:rsidR="00D219A1">
        <w:rPr>
          <w:rStyle w:val="Refdenotaalpie"/>
          <w:rFonts w:ascii="Arial" w:hAnsi="Arial" w:cs="Arial"/>
          <w:bCs/>
          <w:sz w:val="20"/>
          <w:szCs w:val="20"/>
          <w:lang w:val="es-EC"/>
        </w:rPr>
        <w:footnoteReference w:id="1"/>
      </w:r>
      <w:r w:rsidR="00545471">
        <w:rPr>
          <w:rFonts w:ascii="Arial" w:hAnsi="Arial" w:cs="Arial"/>
          <w:bCs/>
          <w:sz w:val="20"/>
          <w:szCs w:val="20"/>
          <w:lang w:val="es-EC"/>
        </w:rPr>
        <w:t xml:space="preserve">, con su constitución, la </w:t>
      </w:r>
      <w:r w:rsidR="00545471" w:rsidRPr="00545471">
        <w:rPr>
          <w:rFonts w:ascii="Arial" w:hAnsi="Arial" w:cs="Arial"/>
          <w:bCs/>
          <w:sz w:val="20"/>
          <w:szCs w:val="20"/>
          <w:lang w:val="es-EC"/>
        </w:rPr>
        <w:t>Plataforma de Redes Regionales por la EPJA hacia la CONFINTEA VII</w:t>
      </w:r>
      <w:r w:rsidR="009D62F5">
        <w:rPr>
          <w:rFonts w:ascii="Arial" w:hAnsi="Arial" w:cs="Arial"/>
          <w:bCs/>
          <w:sz w:val="20"/>
          <w:szCs w:val="20"/>
          <w:lang w:val="es-EC"/>
        </w:rPr>
        <w:t xml:space="preserve"> (Plataforma EPJA)</w:t>
      </w:r>
      <w:r w:rsidR="00545471" w:rsidRPr="00545471">
        <w:rPr>
          <w:rFonts w:ascii="Arial" w:hAnsi="Arial" w:cs="Arial"/>
          <w:bCs/>
          <w:sz w:val="20"/>
          <w:szCs w:val="20"/>
          <w:lang w:val="es-EC"/>
        </w:rPr>
        <w:t>, integrada por ALER, CEAAL, CLADE, Fe y Alegría, ICAE y REPEM</w:t>
      </w:r>
      <w:r w:rsidR="00D219A1">
        <w:rPr>
          <w:rFonts w:ascii="Arial" w:hAnsi="Arial" w:cs="Arial"/>
          <w:bCs/>
          <w:sz w:val="20"/>
          <w:szCs w:val="20"/>
          <w:lang w:val="es-EC"/>
        </w:rPr>
        <w:t>, ha desarrollado una serie de actividades orientadas a la movilización social y educativa de las</w:t>
      </w:r>
      <w:r w:rsidR="009D62F5">
        <w:rPr>
          <w:rFonts w:ascii="Arial" w:hAnsi="Arial" w:cs="Arial"/>
          <w:bCs/>
          <w:sz w:val="20"/>
          <w:szCs w:val="20"/>
          <w:lang w:val="es-EC"/>
        </w:rPr>
        <w:t xml:space="preserve"> organizaciones de la sociedad civil en torno a la </w:t>
      </w:r>
      <w:r>
        <w:rPr>
          <w:rFonts w:ascii="Arial" w:hAnsi="Arial" w:cs="Arial"/>
          <w:bCs/>
          <w:sz w:val="20"/>
          <w:szCs w:val="20"/>
          <w:lang w:val="es-EC"/>
        </w:rPr>
        <w:t>participación activa y propositiva en la S</w:t>
      </w:r>
      <w:r w:rsidR="009D62F5" w:rsidRPr="009D62F5">
        <w:rPr>
          <w:rFonts w:ascii="Arial" w:hAnsi="Arial" w:cs="Arial"/>
          <w:bCs/>
          <w:sz w:val="20"/>
          <w:szCs w:val="20"/>
          <w:lang w:val="es-EC"/>
        </w:rPr>
        <w:t>éptima Conferencia Internacional de Educación de Adultos (CONFINTEA VII)</w:t>
      </w:r>
      <w:r>
        <w:rPr>
          <w:rFonts w:ascii="Arial" w:hAnsi="Arial" w:cs="Arial"/>
          <w:bCs/>
          <w:sz w:val="20"/>
          <w:szCs w:val="20"/>
          <w:lang w:val="es-EC"/>
        </w:rPr>
        <w:t>, entre las que se encuentran: U</w:t>
      </w:r>
      <w:r w:rsidR="009D62F5">
        <w:rPr>
          <w:rFonts w:ascii="Arial" w:hAnsi="Arial" w:cs="Arial"/>
          <w:bCs/>
          <w:sz w:val="20"/>
          <w:szCs w:val="20"/>
          <w:lang w:val="es-EC"/>
        </w:rPr>
        <w:t>na serie de Encuentros de carácter regional –América Latina y el Caribe-</w:t>
      </w:r>
      <w:r>
        <w:rPr>
          <w:rFonts w:ascii="Arial" w:hAnsi="Arial" w:cs="Arial"/>
          <w:bCs/>
          <w:sz w:val="20"/>
          <w:szCs w:val="20"/>
          <w:lang w:val="es-EC"/>
        </w:rPr>
        <w:t>, D</w:t>
      </w:r>
      <w:r w:rsidR="009D62F5">
        <w:rPr>
          <w:rFonts w:ascii="Arial" w:hAnsi="Arial" w:cs="Arial"/>
          <w:bCs/>
          <w:sz w:val="20"/>
          <w:szCs w:val="20"/>
          <w:lang w:val="es-EC"/>
        </w:rPr>
        <w:t xml:space="preserve">ocumentos de conclusiones de estos Encuentros, Pronunciamiento de la Plataforma EPJA, </w:t>
      </w:r>
      <w:r>
        <w:rPr>
          <w:rFonts w:ascii="Arial" w:hAnsi="Arial" w:cs="Arial"/>
          <w:bCs/>
          <w:sz w:val="20"/>
          <w:szCs w:val="20"/>
          <w:lang w:val="es-EC"/>
        </w:rPr>
        <w:t>P</w:t>
      </w:r>
      <w:r w:rsidR="009D62F5">
        <w:rPr>
          <w:rFonts w:ascii="Arial" w:hAnsi="Arial" w:cs="Arial"/>
          <w:bCs/>
          <w:sz w:val="20"/>
          <w:szCs w:val="20"/>
          <w:lang w:val="es-EC"/>
        </w:rPr>
        <w:t xml:space="preserve">articipación activa y propositiva en la Consulta Subregional de América Latina – Camino a la </w:t>
      </w:r>
      <w:r w:rsidR="009D62F5" w:rsidRPr="009D62F5">
        <w:rPr>
          <w:rFonts w:ascii="Arial" w:hAnsi="Arial" w:cs="Arial"/>
          <w:bCs/>
          <w:sz w:val="20"/>
          <w:szCs w:val="20"/>
          <w:lang w:val="es-EC"/>
        </w:rPr>
        <w:t>CONFINTEA VII</w:t>
      </w:r>
      <w:r w:rsidR="009D62F5">
        <w:rPr>
          <w:rFonts w:ascii="Arial" w:hAnsi="Arial" w:cs="Arial"/>
          <w:bCs/>
          <w:sz w:val="20"/>
          <w:szCs w:val="20"/>
          <w:lang w:val="es-EC"/>
        </w:rPr>
        <w:t xml:space="preserve"> convocada por UNESCO y Decálogo conteniendo una serie de propuestas al Marco de Acción de Marrakech, Marruecos.</w:t>
      </w:r>
      <w:r w:rsidR="009E4D41">
        <w:rPr>
          <w:rFonts w:ascii="Arial" w:hAnsi="Arial" w:cs="Arial"/>
          <w:bCs/>
          <w:sz w:val="20"/>
          <w:szCs w:val="20"/>
          <w:lang w:val="es-EC"/>
        </w:rPr>
        <w:t xml:space="preserve"> E</w:t>
      </w:r>
      <w:r>
        <w:rPr>
          <w:rFonts w:ascii="Arial" w:hAnsi="Arial" w:cs="Arial"/>
          <w:bCs/>
          <w:sz w:val="20"/>
          <w:szCs w:val="20"/>
          <w:lang w:val="es-EC"/>
        </w:rPr>
        <w:t>ste proceso de movilización social y educativa</w:t>
      </w:r>
      <w:r w:rsidR="009E4D41">
        <w:rPr>
          <w:rFonts w:ascii="Arial" w:hAnsi="Arial" w:cs="Arial"/>
          <w:bCs/>
          <w:sz w:val="20"/>
          <w:szCs w:val="20"/>
          <w:lang w:val="es-EC"/>
        </w:rPr>
        <w:t xml:space="preserve">, </w:t>
      </w:r>
      <w:r w:rsidR="001F0440">
        <w:rPr>
          <w:rFonts w:ascii="Arial" w:hAnsi="Arial" w:cs="Arial"/>
          <w:bCs/>
          <w:sz w:val="20"/>
          <w:szCs w:val="20"/>
          <w:lang w:val="es-EC"/>
        </w:rPr>
        <w:t>así como</w:t>
      </w:r>
      <w:r w:rsidR="009E4D41">
        <w:rPr>
          <w:rFonts w:ascii="Arial" w:hAnsi="Arial" w:cs="Arial"/>
          <w:bCs/>
          <w:sz w:val="20"/>
          <w:szCs w:val="20"/>
          <w:lang w:val="es-EC"/>
        </w:rPr>
        <w:t xml:space="preserve"> el propósito de contribuir propositivamente a la redacción del Marco de Acción,</w:t>
      </w:r>
      <w:r>
        <w:rPr>
          <w:rFonts w:ascii="Arial" w:hAnsi="Arial" w:cs="Arial"/>
          <w:bCs/>
          <w:sz w:val="20"/>
          <w:szCs w:val="20"/>
          <w:lang w:val="es-EC"/>
        </w:rPr>
        <w:t xml:space="preserve"> le permite</w:t>
      </w:r>
      <w:r w:rsidR="001F0440">
        <w:rPr>
          <w:rFonts w:ascii="Arial" w:hAnsi="Arial" w:cs="Arial"/>
          <w:bCs/>
          <w:sz w:val="20"/>
          <w:szCs w:val="20"/>
          <w:lang w:val="es-EC"/>
        </w:rPr>
        <w:t>n</w:t>
      </w:r>
      <w:r>
        <w:rPr>
          <w:rFonts w:ascii="Arial" w:hAnsi="Arial" w:cs="Arial"/>
          <w:bCs/>
          <w:sz w:val="20"/>
          <w:szCs w:val="20"/>
          <w:lang w:val="es-EC"/>
        </w:rPr>
        <w:t xml:space="preserve"> a la Plataforma EPJA</w:t>
      </w:r>
      <w:r w:rsidR="009E4D41">
        <w:rPr>
          <w:rFonts w:ascii="Arial" w:hAnsi="Arial" w:cs="Arial"/>
          <w:bCs/>
          <w:sz w:val="20"/>
          <w:szCs w:val="20"/>
          <w:lang w:val="es-EC"/>
        </w:rPr>
        <w:t xml:space="preserve"> </w:t>
      </w:r>
      <w:r w:rsidR="001F0440">
        <w:rPr>
          <w:rFonts w:ascii="Arial" w:hAnsi="Arial" w:cs="Arial"/>
          <w:bCs/>
          <w:sz w:val="20"/>
          <w:szCs w:val="20"/>
          <w:lang w:val="es-EC"/>
        </w:rPr>
        <w:t>presentar</w:t>
      </w:r>
      <w:r w:rsidR="009E4D41">
        <w:rPr>
          <w:rFonts w:ascii="Arial" w:hAnsi="Arial" w:cs="Arial"/>
          <w:bCs/>
          <w:sz w:val="20"/>
          <w:szCs w:val="20"/>
          <w:lang w:val="es-EC"/>
        </w:rPr>
        <w:t xml:space="preserve"> una serie de propuestas que permitan responder de mejor manera el formulario de la </w:t>
      </w:r>
      <w:hyperlink r:id="rId10" w:tgtFrame="_blank" w:history="1">
        <w:r w:rsidR="009E4D41">
          <w:rPr>
            <w:rFonts w:ascii="Arial" w:hAnsi="Arial" w:cs="Arial"/>
            <w:color w:val="000000"/>
            <w:sz w:val="20"/>
            <w:szCs w:val="20"/>
          </w:rPr>
          <w:t>Consulta P</w:t>
        </w:r>
        <w:r w:rsidR="009E4D41" w:rsidRPr="009D62F5">
          <w:rPr>
            <w:rFonts w:ascii="Arial" w:hAnsi="Arial" w:cs="Arial"/>
            <w:color w:val="000000"/>
            <w:sz w:val="20"/>
            <w:szCs w:val="20"/>
          </w:rPr>
          <w:t xml:space="preserve">ública en línea sobre el anteproyecto del </w:t>
        </w:r>
        <w:r w:rsidR="009E4D41">
          <w:rPr>
            <w:rFonts w:ascii="Arial" w:hAnsi="Arial" w:cs="Arial"/>
            <w:color w:val="000000"/>
            <w:sz w:val="20"/>
            <w:szCs w:val="20"/>
          </w:rPr>
          <w:t>Marco de A</w:t>
        </w:r>
        <w:r w:rsidR="009E4D41" w:rsidRPr="009D62F5">
          <w:rPr>
            <w:rFonts w:ascii="Arial" w:hAnsi="Arial" w:cs="Arial"/>
            <w:color w:val="000000"/>
            <w:sz w:val="20"/>
            <w:szCs w:val="20"/>
          </w:rPr>
          <w:t>cción de Marrakech</w:t>
        </w:r>
      </w:hyperlink>
      <w:r w:rsidR="009E4D41">
        <w:rPr>
          <w:rFonts w:ascii="Arial" w:hAnsi="Arial" w:cs="Arial"/>
          <w:color w:val="000000"/>
          <w:sz w:val="20"/>
          <w:szCs w:val="20"/>
        </w:rPr>
        <w:t>.</w:t>
      </w:r>
      <w:r w:rsidR="009E4D41">
        <w:rPr>
          <w:rStyle w:val="Refdenotaalpie"/>
          <w:rFonts w:ascii="Arial" w:hAnsi="Arial" w:cs="Arial"/>
          <w:color w:val="000000"/>
          <w:sz w:val="20"/>
          <w:szCs w:val="20"/>
        </w:rPr>
        <w:footnoteReference w:id="2"/>
      </w:r>
      <w:r w:rsidR="009E4D41">
        <w:rPr>
          <w:rFonts w:ascii="Arial" w:hAnsi="Arial" w:cs="Arial"/>
          <w:color w:val="000000"/>
          <w:sz w:val="20"/>
          <w:szCs w:val="20"/>
        </w:rPr>
        <w:t xml:space="preserve"> </w:t>
      </w:r>
      <w:r w:rsidR="001F0440">
        <w:rPr>
          <w:rFonts w:ascii="Arial" w:hAnsi="Arial" w:cs="Arial"/>
          <w:color w:val="000000"/>
          <w:sz w:val="20"/>
          <w:szCs w:val="20"/>
        </w:rPr>
        <w:t>La invitación está planteada.</w:t>
      </w:r>
    </w:p>
    <w:p w:rsidR="003B666B" w:rsidRDefault="003B666B" w:rsidP="00F46BC9">
      <w:pPr>
        <w:pStyle w:val="Sinespaciado"/>
        <w:rPr>
          <w:b/>
          <w:color w:val="0000CC"/>
        </w:rPr>
      </w:pPr>
    </w:p>
    <w:p w:rsidR="00F46BC9" w:rsidRPr="00F46BC9" w:rsidRDefault="00F46BC9" w:rsidP="00F46BC9">
      <w:pPr>
        <w:pStyle w:val="Sinespaciado"/>
        <w:rPr>
          <w:b/>
          <w:color w:val="0000CC"/>
        </w:rPr>
      </w:pPr>
      <w:r w:rsidRPr="00F46BC9">
        <w:rPr>
          <w:b/>
          <w:color w:val="0000CC"/>
        </w:rPr>
        <w:t>ESTRUCTURA GENERAL</w:t>
      </w:r>
    </w:p>
    <w:tbl>
      <w:tblPr>
        <w:tblStyle w:val="Tablaconcuadrcula"/>
        <w:tblW w:w="0" w:type="auto"/>
        <w:tblLook w:val="04A0" w:firstRow="1" w:lastRow="0" w:firstColumn="1" w:lastColumn="0" w:noHBand="0" w:noVBand="1"/>
      </w:tblPr>
      <w:tblGrid>
        <w:gridCol w:w="5778"/>
        <w:gridCol w:w="2835"/>
        <w:gridCol w:w="5099"/>
      </w:tblGrid>
      <w:tr w:rsidR="002211C9" w:rsidTr="003B666B">
        <w:tc>
          <w:tcPr>
            <w:tcW w:w="5778" w:type="dxa"/>
            <w:shd w:val="clear" w:color="auto" w:fill="DBE5F1" w:themeFill="accent1" w:themeFillTint="33"/>
            <w:vAlign w:val="center"/>
          </w:tcPr>
          <w:p w:rsidR="002211C9" w:rsidRPr="001E1E49" w:rsidRDefault="002211C9" w:rsidP="002211C9">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835" w:type="dxa"/>
            <w:shd w:val="clear" w:color="auto" w:fill="DBE5F1" w:themeFill="accent1" w:themeFillTint="33"/>
          </w:tcPr>
          <w:p w:rsidR="002211C9" w:rsidRPr="001E1E49" w:rsidRDefault="002211C9" w:rsidP="002211C9">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1" w:tgtFrame="_blank" w:history="1">
              <w:r w:rsidRPr="001E1E49">
                <w:rPr>
                  <w:rFonts w:ascii="Arial" w:hAnsi="Arial" w:cs="Arial"/>
                  <w:b/>
                  <w:bCs/>
                  <w:color w:val="0000CC"/>
                  <w:sz w:val="20"/>
                  <w:szCs w:val="20"/>
                </w:rPr>
                <w:t>Consulta Pública en línea sobre el anteproyecto del Marco de Acción de Marrakech</w:t>
              </w:r>
            </w:hyperlink>
          </w:p>
        </w:tc>
        <w:tc>
          <w:tcPr>
            <w:tcW w:w="5099" w:type="dxa"/>
            <w:shd w:val="clear" w:color="auto" w:fill="DBE5F1" w:themeFill="accent1" w:themeFillTint="33"/>
            <w:vAlign w:val="center"/>
          </w:tcPr>
          <w:p w:rsidR="00AC1681" w:rsidRPr="001E1E49" w:rsidRDefault="00AC1681" w:rsidP="00AC1681">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 xml:space="preserve">Propuesta de posibles respuestas </w:t>
            </w:r>
          </w:p>
          <w:p w:rsidR="002211C9" w:rsidRPr="001E1E49" w:rsidRDefault="00AC1681" w:rsidP="00AC1681">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1E1E49" w:rsidRPr="001E1E49" w:rsidRDefault="001E1E49" w:rsidP="00AC1681">
            <w:pPr>
              <w:autoSpaceDE w:val="0"/>
              <w:autoSpaceDN w:val="0"/>
              <w:adjustRightInd w:val="0"/>
              <w:jc w:val="center"/>
              <w:rPr>
                <w:rFonts w:ascii="Arial" w:hAnsi="Arial" w:cs="Arial"/>
                <w:b/>
                <w:bCs/>
                <w:color w:val="0000CC"/>
                <w:sz w:val="20"/>
                <w:szCs w:val="20"/>
              </w:rPr>
            </w:pPr>
          </w:p>
        </w:tc>
      </w:tr>
      <w:tr w:rsidR="002211C9" w:rsidTr="003B666B">
        <w:tc>
          <w:tcPr>
            <w:tcW w:w="5778" w:type="dxa"/>
          </w:tcPr>
          <w:p w:rsidR="002211C9" w:rsidRDefault="00060272" w:rsidP="00060272">
            <w:pPr>
              <w:pStyle w:val="Prrafodelista"/>
              <w:numPr>
                <w:ilvl w:val="0"/>
                <w:numId w:val="3"/>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Preámbulo</w:t>
            </w:r>
          </w:p>
          <w:p w:rsidR="00060272" w:rsidRDefault="00060272" w:rsidP="00060272">
            <w:pPr>
              <w:pStyle w:val="Prrafodelista"/>
              <w:numPr>
                <w:ilvl w:val="0"/>
                <w:numId w:val="3"/>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Principios y áreas prioritarias </w:t>
            </w:r>
          </w:p>
          <w:p w:rsidR="00060272" w:rsidRDefault="00060272" w:rsidP="00060272">
            <w:pPr>
              <w:pStyle w:val="Prrafodelista"/>
              <w:numPr>
                <w:ilvl w:val="0"/>
                <w:numId w:val="3"/>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Acciones y recomendaciones para un AEA transformadores</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Establecimiento de marcos y acuerdos de gobernanza</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Rediseño de sistemas para el AEA</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Garantizar la calidad del aprendizaje</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Incremento del financiamiento</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 xml:space="preserve">Promover la inclusión </w:t>
            </w:r>
          </w:p>
          <w:p w:rsidR="00060272" w:rsidRDefault="00060272" w:rsidP="00060272">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Ampliación de los ámbitos de aprendizaje</w:t>
            </w:r>
          </w:p>
          <w:p w:rsidR="00060272" w:rsidRDefault="000059F8" w:rsidP="00060272">
            <w:pPr>
              <w:pStyle w:val="Prrafodelista"/>
              <w:numPr>
                <w:ilvl w:val="0"/>
                <w:numId w:val="3"/>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Cooperación internacional para la promulgación y el seguimiento</w:t>
            </w:r>
          </w:p>
          <w:p w:rsidR="000059F8" w:rsidRPr="00060272" w:rsidRDefault="000059F8" w:rsidP="000059F8">
            <w:pPr>
              <w:pStyle w:val="Prrafodelista"/>
              <w:autoSpaceDE w:val="0"/>
              <w:autoSpaceDN w:val="0"/>
              <w:adjustRightInd w:val="0"/>
              <w:ind w:left="360"/>
              <w:jc w:val="both"/>
              <w:rPr>
                <w:rFonts w:ascii="Arial" w:hAnsi="Arial" w:cs="Arial"/>
                <w:bCs/>
                <w:color w:val="000000"/>
                <w:sz w:val="20"/>
                <w:szCs w:val="20"/>
              </w:rPr>
            </w:pPr>
          </w:p>
        </w:tc>
        <w:tc>
          <w:tcPr>
            <w:tcW w:w="2835" w:type="dxa"/>
          </w:tcPr>
          <w:p w:rsidR="002211C9" w:rsidRPr="00AA1CB7" w:rsidRDefault="00AC1681" w:rsidP="00AC1681">
            <w:pPr>
              <w:autoSpaceDE w:val="0"/>
              <w:autoSpaceDN w:val="0"/>
              <w:adjustRightInd w:val="0"/>
              <w:jc w:val="both"/>
              <w:rPr>
                <w:rFonts w:ascii="Arial" w:hAnsi="Arial" w:cs="Arial"/>
                <w:b/>
                <w:bCs/>
                <w:color w:val="0000CC"/>
                <w:sz w:val="20"/>
                <w:szCs w:val="20"/>
              </w:rPr>
            </w:pPr>
            <w:r w:rsidRPr="00AA1CB7">
              <w:rPr>
                <w:rFonts w:ascii="Arial" w:hAnsi="Arial" w:cs="Arial"/>
                <w:b/>
                <w:bCs/>
                <w:color w:val="0000CC"/>
                <w:sz w:val="20"/>
                <w:szCs w:val="20"/>
              </w:rPr>
              <w:t xml:space="preserve">Estructura general </w:t>
            </w:r>
          </w:p>
          <w:p w:rsidR="00AC1681" w:rsidRDefault="00AC1681" w:rsidP="00AC1681">
            <w:pPr>
              <w:autoSpaceDE w:val="0"/>
              <w:autoSpaceDN w:val="0"/>
              <w:adjustRightInd w:val="0"/>
              <w:jc w:val="both"/>
              <w:rPr>
                <w:rFonts w:ascii="Arial" w:hAnsi="Arial" w:cs="Arial"/>
                <w:bCs/>
                <w:color w:val="000000"/>
                <w:sz w:val="20"/>
                <w:szCs w:val="20"/>
              </w:rPr>
            </w:pPr>
            <w:r w:rsidRPr="00AC1681">
              <w:rPr>
                <w:rFonts w:ascii="Arial" w:hAnsi="Arial" w:cs="Arial"/>
                <w:bCs/>
                <w:color w:val="000000"/>
                <w:sz w:val="20"/>
                <w:szCs w:val="20"/>
              </w:rPr>
              <w:t>¿Es la estructura del anteproyecto adecuada para un marco de acción mundial de este tipo?</w:t>
            </w:r>
            <w:r w:rsidR="008803F0">
              <w:rPr>
                <w:rFonts w:ascii="Arial" w:hAnsi="Arial" w:cs="Arial"/>
                <w:bCs/>
                <w:color w:val="000000"/>
                <w:sz w:val="20"/>
                <w:szCs w:val="20"/>
              </w:rPr>
              <w:t xml:space="preserve"> Si/No</w:t>
            </w:r>
          </w:p>
          <w:p w:rsidR="00F46BC9" w:rsidRDefault="00F46BC9" w:rsidP="00AC1681">
            <w:pPr>
              <w:autoSpaceDE w:val="0"/>
              <w:autoSpaceDN w:val="0"/>
              <w:adjustRightInd w:val="0"/>
              <w:jc w:val="both"/>
              <w:rPr>
                <w:rFonts w:ascii="Arial" w:hAnsi="Arial" w:cs="Arial"/>
                <w:bCs/>
                <w:color w:val="000000"/>
                <w:sz w:val="20"/>
                <w:szCs w:val="20"/>
              </w:rPr>
            </w:pPr>
          </w:p>
          <w:p w:rsidR="00F46BC9" w:rsidRPr="00AC1681" w:rsidRDefault="00F46BC9" w:rsidP="00F46BC9">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Si la respuesta es NO: </w:t>
            </w:r>
            <w:r w:rsidRPr="00F46BC9">
              <w:rPr>
                <w:rFonts w:ascii="Arial" w:hAnsi="Arial" w:cs="Arial"/>
                <w:bCs/>
                <w:color w:val="000000"/>
                <w:sz w:val="20"/>
                <w:szCs w:val="20"/>
              </w:rPr>
              <w:t>¿Cómo se podría mejorar la estructura del anteproyecto?</w:t>
            </w:r>
          </w:p>
        </w:tc>
        <w:tc>
          <w:tcPr>
            <w:tcW w:w="5099" w:type="dxa"/>
          </w:tcPr>
          <w:p w:rsidR="00AC1681" w:rsidRDefault="00060272" w:rsidP="00AC1681">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El marco de acción debería contener las siguientes secciones:</w:t>
            </w:r>
          </w:p>
          <w:p w:rsidR="00060272" w:rsidRDefault="00060272" w:rsidP="00AC1681">
            <w:pPr>
              <w:pStyle w:val="Prrafodelista"/>
              <w:numPr>
                <w:ilvl w:val="0"/>
                <w:numId w:val="2"/>
              </w:numPr>
              <w:autoSpaceDE w:val="0"/>
              <w:autoSpaceDN w:val="0"/>
              <w:adjustRightInd w:val="0"/>
              <w:ind w:left="317" w:hanging="317"/>
              <w:jc w:val="both"/>
              <w:rPr>
                <w:rFonts w:ascii="Arial" w:hAnsi="Arial" w:cs="Arial"/>
                <w:bCs/>
                <w:color w:val="000000"/>
                <w:sz w:val="20"/>
                <w:szCs w:val="20"/>
              </w:rPr>
            </w:pPr>
            <w:r>
              <w:rPr>
                <w:rFonts w:ascii="Arial" w:hAnsi="Arial" w:cs="Arial"/>
                <w:bCs/>
                <w:color w:val="000000"/>
                <w:sz w:val="20"/>
                <w:szCs w:val="20"/>
              </w:rPr>
              <w:t>Preámbulo</w:t>
            </w:r>
          </w:p>
          <w:p w:rsidR="00AC1681" w:rsidRDefault="000059F8" w:rsidP="00AC1681">
            <w:pPr>
              <w:pStyle w:val="Prrafodelista"/>
              <w:numPr>
                <w:ilvl w:val="0"/>
                <w:numId w:val="2"/>
              </w:numPr>
              <w:autoSpaceDE w:val="0"/>
              <w:autoSpaceDN w:val="0"/>
              <w:adjustRightInd w:val="0"/>
              <w:ind w:left="317" w:hanging="317"/>
              <w:jc w:val="both"/>
              <w:rPr>
                <w:rFonts w:ascii="Arial" w:hAnsi="Arial" w:cs="Arial"/>
                <w:bCs/>
                <w:color w:val="000000"/>
                <w:sz w:val="20"/>
                <w:szCs w:val="20"/>
              </w:rPr>
            </w:pPr>
            <w:r>
              <w:rPr>
                <w:rFonts w:ascii="Arial" w:hAnsi="Arial" w:cs="Arial"/>
                <w:bCs/>
                <w:color w:val="000000"/>
                <w:sz w:val="20"/>
                <w:szCs w:val="20"/>
              </w:rPr>
              <w:t>P</w:t>
            </w:r>
            <w:r w:rsidR="00AC1681">
              <w:rPr>
                <w:rFonts w:ascii="Arial" w:hAnsi="Arial" w:cs="Arial"/>
                <w:bCs/>
                <w:color w:val="000000"/>
                <w:sz w:val="20"/>
                <w:szCs w:val="20"/>
              </w:rPr>
              <w:t>rincipios principales:</w:t>
            </w:r>
          </w:p>
          <w:p w:rsidR="007855DE" w:rsidRDefault="007855DE" w:rsidP="007855DE">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J</w:t>
            </w:r>
            <w:r w:rsidRPr="00AC1681">
              <w:rPr>
                <w:rFonts w:ascii="Arial" w:hAnsi="Arial" w:cs="Arial"/>
                <w:bCs/>
                <w:color w:val="000000"/>
                <w:sz w:val="20"/>
                <w:szCs w:val="20"/>
              </w:rPr>
              <w:t>ustificación de las razones subya</w:t>
            </w:r>
            <w:r>
              <w:rPr>
                <w:rFonts w:ascii="Arial" w:hAnsi="Arial" w:cs="Arial"/>
                <w:bCs/>
                <w:color w:val="000000"/>
                <w:sz w:val="20"/>
                <w:szCs w:val="20"/>
              </w:rPr>
              <w:t>centes a los principios de la EPJA</w:t>
            </w:r>
          </w:p>
          <w:p w:rsidR="00060272" w:rsidRDefault="00060272" w:rsidP="000059F8">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 xml:space="preserve">Declaración </w:t>
            </w:r>
          </w:p>
          <w:p w:rsidR="00060272" w:rsidRDefault="00060272" w:rsidP="000059F8">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La EPJA de los tiempos actuales</w:t>
            </w:r>
            <w:r w:rsidR="000059F8">
              <w:rPr>
                <w:rFonts w:ascii="Arial" w:hAnsi="Arial" w:cs="Arial"/>
                <w:bCs/>
                <w:color w:val="000000"/>
                <w:sz w:val="20"/>
                <w:szCs w:val="20"/>
              </w:rPr>
              <w:t>. Principales características</w:t>
            </w:r>
            <w:r>
              <w:rPr>
                <w:rFonts w:ascii="Arial" w:hAnsi="Arial" w:cs="Arial"/>
                <w:bCs/>
                <w:color w:val="000000"/>
                <w:sz w:val="20"/>
                <w:szCs w:val="20"/>
              </w:rPr>
              <w:t xml:space="preserve">  </w:t>
            </w:r>
          </w:p>
          <w:p w:rsidR="007855DE" w:rsidRDefault="007855DE" w:rsidP="000059F8">
            <w:pPr>
              <w:pStyle w:val="Prrafodelista"/>
              <w:numPr>
                <w:ilvl w:val="1"/>
                <w:numId w:val="3"/>
              </w:numPr>
              <w:autoSpaceDE w:val="0"/>
              <w:autoSpaceDN w:val="0"/>
              <w:adjustRightInd w:val="0"/>
              <w:ind w:left="709" w:hanging="283"/>
              <w:jc w:val="both"/>
              <w:rPr>
                <w:rFonts w:ascii="Arial" w:hAnsi="Arial" w:cs="Arial"/>
                <w:bCs/>
                <w:color w:val="000000"/>
                <w:sz w:val="20"/>
                <w:szCs w:val="20"/>
              </w:rPr>
            </w:pPr>
            <w:r>
              <w:rPr>
                <w:rFonts w:ascii="Arial" w:hAnsi="Arial" w:cs="Arial"/>
                <w:bCs/>
                <w:color w:val="000000"/>
                <w:sz w:val="20"/>
                <w:szCs w:val="20"/>
              </w:rPr>
              <w:t>La EPJA como derecho fundamental a lo largo y ancho de la vida</w:t>
            </w:r>
          </w:p>
          <w:p w:rsidR="00060272" w:rsidRDefault="000059F8" w:rsidP="000059F8">
            <w:pPr>
              <w:pStyle w:val="Prrafodelista"/>
              <w:numPr>
                <w:ilvl w:val="0"/>
                <w:numId w:val="2"/>
              </w:numPr>
              <w:autoSpaceDE w:val="0"/>
              <w:autoSpaceDN w:val="0"/>
              <w:adjustRightInd w:val="0"/>
              <w:ind w:left="317" w:hanging="317"/>
              <w:jc w:val="both"/>
              <w:rPr>
                <w:rFonts w:ascii="Arial" w:hAnsi="Arial" w:cs="Arial"/>
                <w:bCs/>
                <w:color w:val="000000"/>
                <w:sz w:val="20"/>
                <w:szCs w:val="20"/>
              </w:rPr>
            </w:pPr>
            <w:r>
              <w:rPr>
                <w:rFonts w:ascii="Arial" w:hAnsi="Arial" w:cs="Arial"/>
                <w:bCs/>
                <w:color w:val="000000"/>
                <w:sz w:val="20"/>
                <w:szCs w:val="20"/>
              </w:rPr>
              <w:t>Estrategias para una EPJA transformadora</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Gobernanza</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Rediseño de sistemas para la EPJA</w:t>
            </w:r>
            <w:r w:rsidR="007855DE">
              <w:rPr>
                <w:rFonts w:ascii="Arial" w:hAnsi="Arial" w:cs="Arial"/>
                <w:bCs/>
                <w:color w:val="000000"/>
                <w:sz w:val="20"/>
                <w:szCs w:val="20"/>
              </w:rPr>
              <w:t>. Nueva institucionalidad</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Calidad de aprendizajes</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Financiamiento, cooperación internacional y transparencia</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EPJA para la diversidad e inclusión</w:t>
            </w:r>
          </w:p>
          <w:p w:rsid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Ampliación y valoración de los ámbitos de aprendizaje: formal, no formal e informal</w:t>
            </w:r>
          </w:p>
          <w:p w:rsidR="007855DE" w:rsidRDefault="007855DE"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EPJA intra e intercultural, comunitaria</w:t>
            </w:r>
          </w:p>
          <w:p w:rsidR="007855DE" w:rsidRDefault="007855DE"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EPJA productiva, técnica y territorial</w:t>
            </w:r>
          </w:p>
          <w:p w:rsidR="007855DE" w:rsidRDefault="007855DE"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EPJA y TICs: Derecho al uso y la conectividad universal y gratuita</w:t>
            </w:r>
          </w:p>
          <w:p w:rsidR="000059F8" w:rsidRPr="000059F8" w:rsidRDefault="000059F8" w:rsidP="007855DE">
            <w:pPr>
              <w:pStyle w:val="Prrafodelista"/>
              <w:numPr>
                <w:ilvl w:val="0"/>
                <w:numId w:val="4"/>
              </w:numPr>
              <w:autoSpaceDE w:val="0"/>
              <w:autoSpaceDN w:val="0"/>
              <w:adjustRightInd w:val="0"/>
              <w:ind w:left="742" w:hanging="283"/>
              <w:jc w:val="both"/>
              <w:rPr>
                <w:rFonts w:ascii="Arial" w:hAnsi="Arial" w:cs="Arial"/>
                <w:bCs/>
                <w:color w:val="000000"/>
                <w:sz w:val="20"/>
                <w:szCs w:val="20"/>
              </w:rPr>
            </w:pPr>
            <w:r>
              <w:rPr>
                <w:rFonts w:ascii="Arial" w:hAnsi="Arial" w:cs="Arial"/>
                <w:bCs/>
                <w:color w:val="000000"/>
                <w:sz w:val="20"/>
                <w:szCs w:val="20"/>
              </w:rPr>
              <w:t>Formación, rol y condiciones de las y los educadores</w:t>
            </w:r>
          </w:p>
          <w:p w:rsidR="00060272" w:rsidRDefault="00060272" w:rsidP="00060272">
            <w:pPr>
              <w:pStyle w:val="Prrafodelista"/>
              <w:numPr>
                <w:ilvl w:val="0"/>
                <w:numId w:val="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Solidar</w:t>
            </w:r>
            <w:r w:rsidR="000059F8">
              <w:rPr>
                <w:rFonts w:ascii="Arial" w:hAnsi="Arial" w:cs="Arial"/>
                <w:bCs/>
                <w:color w:val="000000"/>
                <w:sz w:val="20"/>
                <w:szCs w:val="20"/>
              </w:rPr>
              <w:t>idad y cooperación</w:t>
            </w:r>
          </w:p>
          <w:p w:rsidR="00060272" w:rsidRPr="00AC1681" w:rsidRDefault="00060272" w:rsidP="00060272">
            <w:pPr>
              <w:pStyle w:val="Prrafodelista"/>
              <w:numPr>
                <w:ilvl w:val="0"/>
                <w:numId w:val="2"/>
              </w:num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Seguimiento, evaluación y rendición de cuentas.</w:t>
            </w:r>
          </w:p>
        </w:tc>
      </w:tr>
    </w:tbl>
    <w:p w:rsidR="003B666B" w:rsidRDefault="003B666B" w:rsidP="00F46BC9">
      <w:pPr>
        <w:pStyle w:val="Sinespaciado"/>
        <w:rPr>
          <w:b/>
          <w:color w:val="0000CC"/>
        </w:rPr>
      </w:pPr>
    </w:p>
    <w:p w:rsidR="003B666B" w:rsidRDefault="003B666B" w:rsidP="00F46BC9">
      <w:pPr>
        <w:pStyle w:val="Sinespaciado"/>
        <w:rPr>
          <w:b/>
          <w:color w:val="0000CC"/>
        </w:rPr>
      </w:pPr>
    </w:p>
    <w:p w:rsidR="00F46BC9" w:rsidRPr="00F46BC9" w:rsidRDefault="00F46BC9" w:rsidP="00F46BC9">
      <w:pPr>
        <w:pStyle w:val="Sinespaciado"/>
        <w:rPr>
          <w:b/>
          <w:color w:val="0000CC"/>
        </w:rPr>
      </w:pPr>
      <w:r w:rsidRPr="00F46BC9">
        <w:rPr>
          <w:b/>
          <w:color w:val="0000CC"/>
        </w:rPr>
        <w:lastRenderedPageBreak/>
        <w:t>SECCIÓN I: PREÁMBULO</w:t>
      </w:r>
    </w:p>
    <w:tbl>
      <w:tblPr>
        <w:tblStyle w:val="Tablaconcuadrcula"/>
        <w:tblW w:w="0" w:type="auto"/>
        <w:tblLook w:val="04A0" w:firstRow="1" w:lastRow="0" w:firstColumn="1" w:lastColumn="0" w:noHBand="0" w:noVBand="1"/>
      </w:tblPr>
      <w:tblGrid>
        <w:gridCol w:w="7054"/>
        <w:gridCol w:w="2126"/>
        <w:gridCol w:w="4532"/>
      </w:tblGrid>
      <w:tr w:rsidR="00F46BC9" w:rsidRPr="001E1E49" w:rsidTr="00F46BC9">
        <w:tc>
          <w:tcPr>
            <w:tcW w:w="7054" w:type="dxa"/>
            <w:shd w:val="clear" w:color="auto" w:fill="DBE5F1" w:themeFill="accent1" w:themeFillTint="33"/>
            <w:vAlign w:val="center"/>
          </w:tcPr>
          <w:p w:rsidR="00F46BC9" w:rsidRPr="001E1E49" w:rsidRDefault="00F46BC9" w:rsidP="00F46BC9">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126" w:type="dxa"/>
            <w:shd w:val="clear" w:color="auto" w:fill="DBE5F1" w:themeFill="accent1" w:themeFillTint="33"/>
            <w:vAlign w:val="center"/>
          </w:tcPr>
          <w:p w:rsidR="00F46BC9" w:rsidRPr="001E1E49" w:rsidRDefault="00F46BC9" w:rsidP="00F46BC9">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2" w:tgtFrame="_blank" w:history="1">
              <w:r w:rsidRPr="001E1E49">
                <w:rPr>
                  <w:rFonts w:ascii="Arial" w:hAnsi="Arial" w:cs="Arial"/>
                  <w:b/>
                  <w:bCs/>
                  <w:color w:val="0000CC"/>
                  <w:sz w:val="20"/>
                  <w:szCs w:val="20"/>
                </w:rPr>
                <w:t>Consulta Pública en línea sobre el anteproyecto del Marco de Acción de Marrakech</w:t>
              </w:r>
            </w:hyperlink>
          </w:p>
        </w:tc>
        <w:tc>
          <w:tcPr>
            <w:tcW w:w="4532" w:type="dxa"/>
            <w:shd w:val="clear" w:color="auto" w:fill="DBE5F1" w:themeFill="accent1" w:themeFillTint="33"/>
            <w:vAlign w:val="center"/>
          </w:tcPr>
          <w:p w:rsidR="00F46BC9" w:rsidRPr="001E1E49" w:rsidRDefault="00F46BC9" w:rsidP="00F46BC9">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Propuesta de posibles respuestas</w:t>
            </w:r>
          </w:p>
          <w:p w:rsidR="00F46BC9" w:rsidRPr="001E1E49" w:rsidRDefault="00F46BC9" w:rsidP="00F46BC9">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F46BC9" w:rsidRPr="001E1E49" w:rsidRDefault="00F46BC9" w:rsidP="00F46BC9">
            <w:pPr>
              <w:autoSpaceDE w:val="0"/>
              <w:autoSpaceDN w:val="0"/>
              <w:adjustRightInd w:val="0"/>
              <w:jc w:val="center"/>
              <w:rPr>
                <w:rFonts w:ascii="Arial" w:hAnsi="Arial" w:cs="Arial"/>
                <w:b/>
                <w:bCs/>
                <w:color w:val="0000CC"/>
                <w:sz w:val="20"/>
                <w:szCs w:val="20"/>
              </w:rPr>
            </w:pPr>
          </w:p>
        </w:tc>
      </w:tr>
      <w:tr w:rsidR="002211C9" w:rsidTr="00F46BC9">
        <w:tc>
          <w:tcPr>
            <w:tcW w:w="7054" w:type="dxa"/>
          </w:tcPr>
          <w:p w:rsidR="002211C9" w:rsidRPr="00AA1CB7" w:rsidRDefault="000D0F49" w:rsidP="00AC1681">
            <w:pPr>
              <w:autoSpaceDE w:val="0"/>
              <w:autoSpaceDN w:val="0"/>
              <w:adjustRightInd w:val="0"/>
              <w:jc w:val="both"/>
              <w:rPr>
                <w:rFonts w:ascii="Arial" w:hAnsi="Arial" w:cs="Arial"/>
                <w:b/>
                <w:bCs/>
                <w:color w:val="0000CC"/>
                <w:sz w:val="20"/>
                <w:szCs w:val="20"/>
              </w:rPr>
            </w:pPr>
            <w:r w:rsidRPr="00AA1CB7">
              <w:rPr>
                <w:rFonts w:ascii="Arial" w:hAnsi="Arial" w:cs="Arial"/>
                <w:b/>
                <w:bCs/>
                <w:color w:val="0000CC"/>
                <w:sz w:val="20"/>
                <w:szCs w:val="20"/>
              </w:rPr>
              <w:t>PREÁMBULO</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Nosotros, los XXX Estados Miembros de la UNESCO, y los representantes de las</w:t>
            </w:r>
            <w:r>
              <w:rPr>
                <w:rFonts w:ascii="Arial" w:hAnsi="Arial" w:cs="Arial"/>
                <w:color w:val="000000"/>
                <w:sz w:val="20"/>
                <w:szCs w:val="20"/>
              </w:rPr>
              <w:t xml:space="preserve"> </w:t>
            </w:r>
            <w:r w:rsidRPr="00833764">
              <w:rPr>
                <w:rFonts w:ascii="Arial" w:hAnsi="Arial" w:cs="Arial"/>
                <w:color w:val="000000"/>
                <w:sz w:val="20"/>
                <w:szCs w:val="20"/>
              </w:rPr>
              <w:t>organizaciones de la sociedad civil, los actores sociales, los organismos de las Naciones</w:t>
            </w:r>
            <w:r>
              <w:rPr>
                <w:rFonts w:ascii="Arial" w:hAnsi="Arial" w:cs="Arial"/>
                <w:color w:val="000000"/>
                <w:sz w:val="20"/>
                <w:szCs w:val="20"/>
              </w:rPr>
              <w:t xml:space="preserve"> </w:t>
            </w:r>
            <w:r w:rsidRPr="00833764">
              <w:rPr>
                <w:rFonts w:ascii="Arial" w:hAnsi="Arial" w:cs="Arial"/>
                <w:color w:val="000000"/>
                <w:sz w:val="20"/>
                <w:szCs w:val="20"/>
              </w:rPr>
              <w:t xml:space="preserve">Unidas, las agencias intergubernamentales y el sector privado, nos reunimos en </w:t>
            </w:r>
            <w:r w:rsidRPr="00833764">
              <w:rPr>
                <w:rFonts w:ascii="Arial" w:hAnsi="Arial" w:cs="Arial"/>
                <w:b/>
                <w:bCs/>
                <w:color w:val="000000"/>
                <w:sz w:val="20"/>
                <w:szCs w:val="20"/>
              </w:rPr>
              <w:t>Marrakech,</w:t>
            </w:r>
            <w:r>
              <w:rPr>
                <w:rFonts w:ascii="Arial" w:hAnsi="Arial" w:cs="Arial"/>
                <w:b/>
                <w:bCs/>
                <w:color w:val="000000"/>
                <w:sz w:val="20"/>
                <w:szCs w:val="20"/>
              </w:rPr>
              <w:t xml:space="preserve"> </w:t>
            </w:r>
            <w:r w:rsidRPr="00833764">
              <w:rPr>
                <w:rFonts w:ascii="Arial" w:hAnsi="Arial" w:cs="Arial"/>
                <w:b/>
                <w:bCs/>
                <w:color w:val="000000"/>
                <w:sz w:val="20"/>
                <w:szCs w:val="20"/>
              </w:rPr>
              <w:t>Marruecos</w:t>
            </w:r>
            <w:r w:rsidRPr="00833764">
              <w:rPr>
                <w:rFonts w:ascii="Arial" w:hAnsi="Arial" w:cs="Arial"/>
                <w:color w:val="000000"/>
                <w:sz w:val="20"/>
                <w:szCs w:val="20"/>
              </w:rPr>
              <w:t xml:space="preserve">, y en línea, </w:t>
            </w:r>
            <w:r w:rsidRPr="00833764">
              <w:rPr>
                <w:rFonts w:ascii="Arial" w:hAnsi="Arial" w:cs="Arial"/>
                <w:b/>
                <w:bCs/>
                <w:color w:val="000000"/>
                <w:sz w:val="20"/>
                <w:szCs w:val="20"/>
              </w:rPr>
              <w:t>del 15 al 17 de junio de 2022</w:t>
            </w:r>
            <w:r w:rsidRPr="00833764">
              <w:rPr>
                <w:rFonts w:ascii="Arial" w:hAnsi="Arial" w:cs="Arial"/>
                <w:color w:val="000000"/>
                <w:sz w:val="20"/>
                <w:szCs w:val="20"/>
              </w:rPr>
              <w:t>, para participar en la Séptima</w:t>
            </w:r>
            <w:r>
              <w:rPr>
                <w:rFonts w:ascii="Arial" w:hAnsi="Arial" w:cs="Arial"/>
                <w:color w:val="000000"/>
                <w:sz w:val="20"/>
                <w:szCs w:val="20"/>
              </w:rPr>
              <w:t xml:space="preserve"> </w:t>
            </w:r>
            <w:r w:rsidRPr="00833764">
              <w:rPr>
                <w:rFonts w:ascii="Arial" w:hAnsi="Arial" w:cs="Arial"/>
                <w:color w:val="000000"/>
                <w:sz w:val="20"/>
                <w:szCs w:val="20"/>
              </w:rPr>
              <w:t>Conferencia Internacional de Educación para los Adultos (CONFINTEA VII). La conferencia</w:t>
            </w:r>
            <w:r>
              <w:rPr>
                <w:rFonts w:ascii="Arial" w:hAnsi="Arial" w:cs="Arial"/>
                <w:color w:val="000000"/>
                <w:sz w:val="20"/>
                <w:szCs w:val="20"/>
              </w:rPr>
              <w:t xml:space="preserve"> </w:t>
            </w:r>
            <w:r w:rsidRPr="00833764">
              <w:rPr>
                <w:rFonts w:ascii="Arial" w:hAnsi="Arial" w:cs="Arial"/>
                <w:color w:val="000000"/>
                <w:sz w:val="20"/>
                <w:szCs w:val="20"/>
              </w:rPr>
              <w:t>tiene lugar en el contexto de una pandemia que ha afectado profundamente a los sistemas</w:t>
            </w:r>
            <w:r>
              <w:rPr>
                <w:rFonts w:ascii="Arial" w:hAnsi="Arial" w:cs="Arial"/>
                <w:color w:val="000000"/>
                <w:sz w:val="20"/>
                <w:szCs w:val="20"/>
              </w:rPr>
              <w:t xml:space="preserve"> </w:t>
            </w:r>
            <w:r w:rsidRPr="00833764">
              <w:rPr>
                <w:rFonts w:ascii="Arial" w:hAnsi="Arial" w:cs="Arial"/>
                <w:color w:val="000000"/>
                <w:sz w:val="20"/>
                <w:szCs w:val="20"/>
              </w:rPr>
              <w:t>educativos en todo el mundo, incluido el aprendizaje y la educación de adultos (AEA).</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 reunimos para hacer recuento de los importantes desafíos y progresos realizados en</w:t>
            </w:r>
            <w:r>
              <w:rPr>
                <w:rFonts w:ascii="Arial" w:hAnsi="Arial" w:cs="Arial"/>
                <w:color w:val="000000"/>
                <w:sz w:val="20"/>
                <w:szCs w:val="20"/>
              </w:rPr>
              <w:t xml:space="preserve"> </w:t>
            </w:r>
            <w:r w:rsidRPr="00833764">
              <w:rPr>
                <w:rFonts w:ascii="Arial" w:hAnsi="Arial" w:cs="Arial"/>
                <w:color w:val="000000"/>
                <w:sz w:val="20"/>
                <w:szCs w:val="20"/>
              </w:rPr>
              <w:t>materia de AEA desde la CONFINTEA VI en 2009, y para establecer una hoja de ruta para el</w:t>
            </w:r>
            <w:r>
              <w:rPr>
                <w:rFonts w:ascii="Arial" w:hAnsi="Arial" w:cs="Arial"/>
                <w:color w:val="000000"/>
                <w:sz w:val="20"/>
                <w:szCs w:val="20"/>
              </w:rPr>
              <w:t xml:space="preserve"> </w:t>
            </w:r>
            <w:r w:rsidRPr="00833764">
              <w:rPr>
                <w:rFonts w:ascii="Arial" w:hAnsi="Arial" w:cs="Arial"/>
                <w:color w:val="000000"/>
                <w:sz w:val="20"/>
                <w:szCs w:val="20"/>
              </w:rPr>
              <w:t>avance del AEA en los próximos 12 años, hacia 2030 y más allá.</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 xml:space="preserve">Recordamos los </w:t>
            </w:r>
            <w:r w:rsidRPr="00833764">
              <w:rPr>
                <w:rFonts w:ascii="Arial" w:hAnsi="Arial" w:cs="Arial"/>
                <w:b/>
                <w:bCs/>
                <w:color w:val="000000"/>
                <w:sz w:val="20"/>
                <w:szCs w:val="20"/>
              </w:rPr>
              <w:t>logros de la CONFINTEA VI</w:t>
            </w:r>
            <w:r w:rsidRPr="00833764">
              <w:rPr>
                <w:rFonts w:ascii="Arial" w:hAnsi="Arial" w:cs="Arial"/>
                <w:color w:val="000000"/>
                <w:sz w:val="20"/>
                <w:szCs w:val="20"/>
              </w:rPr>
              <w:t>, incluido el reconocimiento en el Marco de acción</w:t>
            </w:r>
            <w:r>
              <w:rPr>
                <w:rFonts w:ascii="Arial" w:hAnsi="Arial" w:cs="Arial"/>
                <w:color w:val="000000"/>
                <w:sz w:val="20"/>
                <w:szCs w:val="20"/>
              </w:rPr>
              <w:t xml:space="preserve"> </w:t>
            </w:r>
            <w:r w:rsidRPr="00833764">
              <w:rPr>
                <w:rFonts w:ascii="Arial" w:hAnsi="Arial" w:cs="Arial"/>
                <w:color w:val="000000"/>
                <w:sz w:val="20"/>
                <w:szCs w:val="20"/>
              </w:rPr>
              <w:t>de Belém (MAB) 2009 del AEA como un elemento esencial del derecho a la educación, y la</w:t>
            </w:r>
            <w:r>
              <w:rPr>
                <w:rFonts w:ascii="Arial" w:hAnsi="Arial" w:cs="Arial"/>
                <w:color w:val="000000"/>
                <w:sz w:val="20"/>
                <w:szCs w:val="20"/>
              </w:rPr>
              <w:t xml:space="preserve"> </w:t>
            </w:r>
            <w:r w:rsidRPr="00833764">
              <w:rPr>
                <w:rFonts w:ascii="Arial" w:hAnsi="Arial" w:cs="Arial"/>
                <w:color w:val="000000"/>
                <w:sz w:val="20"/>
                <w:szCs w:val="20"/>
              </w:rPr>
              <w:t>identificación de cinco áreas de acción para el AEA, que siguen siendo relevantes hoy en día:</w:t>
            </w:r>
            <w:r>
              <w:rPr>
                <w:rFonts w:ascii="Arial" w:hAnsi="Arial" w:cs="Arial"/>
                <w:color w:val="000000"/>
                <w:sz w:val="20"/>
                <w:szCs w:val="20"/>
              </w:rPr>
              <w:t xml:space="preserve"> </w:t>
            </w:r>
            <w:r w:rsidRPr="00833764">
              <w:rPr>
                <w:rFonts w:ascii="Arial" w:hAnsi="Arial" w:cs="Arial"/>
                <w:color w:val="000000"/>
                <w:sz w:val="20"/>
                <w:szCs w:val="20"/>
              </w:rPr>
              <w:t>política; gobernanza; financiación; participación, inclusión y equidad; y calidad. También</w:t>
            </w:r>
            <w:r>
              <w:rPr>
                <w:rFonts w:ascii="Arial" w:hAnsi="Arial" w:cs="Arial"/>
                <w:color w:val="000000"/>
                <w:sz w:val="20"/>
                <w:szCs w:val="20"/>
              </w:rPr>
              <w:t xml:space="preserve"> </w:t>
            </w:r>
            <w:r w:rsidRPr="00833764">
              <w:rPr>
                <w:rFonts w:ascii="Arial" w:hAnsi="Arial" w:cs="Arial"/>
                <w:color w:val="000000"/>
                <w:sz w:val="20"/>
                <w:szCs w:val="20"/>
              </w:rPr>
              <w:t>destacamos el valor del Informe Mundial sobre el Aprendizaje y la Educación de Adultos</w:t>
            </w:r>
            <w:r>
              <w:rPr>
                <w:rFonts w:ascii="Arial" w:hAnsi="Arial" w:cs="Arial"/>
                <w:color w:val="000000"/>
                <w:sz w:val="20"/>
                <w:szCs w:val="20"/>
              </w:rPr>
              <w:t xml:space="preserve"> </w:t>
            </w:r>
            <w:r w:rsidRPr="00833764">
              <w:rPr>
                <w:rFonts w:ascii="Arial" w:hAnsi="Arial" w:cs="Arial"/>
                <w:color w:val="000000"/>
                <w:sz w:val="20"/>
                <w:szCs w:val="20"/>
              </w:rPr>
              <w:t>(GRALE) de la UNESCO que, por mandato del MAB en 2009, ha supervisado periódicamente</w:t>
            </w:r>
            <w:r>
              <w:rPr>
                <w:rFonts w:ascii="Arial" w:hAnsi="Arial" w:cs="Arial"/>
                <w:color w:val="000000"/>
                <w:sz w:val="20"/>
                <w:szCs w:val="20"/>
              </w:rPr>
              <w:t xml:space="preserve"> </w:t>
            </w:r>
            <w:r w:rsidRPr="00833764">
              <w:rPr>
                <w:rFonts w:ascii="Arial" w:hAnsi="Arial" w:cs="Arial"/>
                <w:color w:val="000000"/>
                <w:sz w:val="20"/>
                <w:szCs w:val="20"/>
              </w:rPr>
              <w:t>la evolución del AEA a través de cinco ediciones.</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F80DA3">
              <w:rPr>
                <w:rFonts w:ascii="Arial" w:hAnsi="Arial" w:cs="Arial"/>
                <w:color w:val="000000"/>
                <w:sz w:val="20"/>
                <w:szCs w:val="20"/>
              </w:rPr>
              <w:t xml:space="preserve">Con el apoyo de los datos del GRALE, reflexionamos sobre los </w:t>
            </w:r>
            <w:r w:rsidRPr="00F80DA3">
              <w:rPr>
                <w:rFonts w:ascii="Arial" w:hAnsi="Arial" w:cs="Arial"/>
                <w:b/>
                <w:bCs/>
                <w:color w:val="000000"/>
                <w:sz w:val="20"/>
                <w:szCs w:val="20"/>
              </w:rPr>
              <w:t>principales esfuerzos</w:t>
            </w:r>
            <w:r>
              <w:rPr>
                <w:rFonts w:ascii="Arial" w:hAnsi="Arial" w:cs="Arial"/>
                <w:b/>
                <w:bCs/>
                <w:color w:val="000000"/>
                <w:sz w:val="20"/>
                <w:szCs w:val="20"/>
              </w:rPr>
              <w:t xml:space="preserve"> </w:t>
            </w:r>
            <w:r w:rsidRPr="00F80DA3">
              <w:rPr>
                <w:rFonts w:ascii="Arial" w:hAnsi="Arial" w:cs="Arial"/>
                <w:b/>
                <w:bCs/>
                <w:color w:val="000000"/>
                <w:sz w:val="20"/>
                <w:szCs w:val="20"/>
              </w:rPr>
              <w:t xml:space="preserve">mundiales en la promoción del aprendizaje a lo largo de toda la vida desde 2009 </w:t>
            </w:r>
            <w:r>
              <w:rPr>
                <w:rFonts w:ascii="Arial" w:hAnsi="Arial" w:cs="Arial"/>
                <w:color w:val="000000"/>
                <w:sz w:val="20"/>
                <w:szCs w:val="20"/>
              </w:rPr>
              <w:t xml:space="preserve">y su </w:t>
            </w:r>
            <w:r w:rsidRPr="00F80DA3">
              <w:rPr>
                <w:rFonts w:ascii="Arial" w:hAnsi="Arial" w:cs="Arial"/>
                <w:color w:val="000000"/>
                <w:sz w:val="20"/>
                <w:szCs w:val="20"/>
              </w:rPr>
              <w:t>impacto en el AEA. Estos incluyen el compromiso de la comunidad internacional con la</w:t>
            </w:r>
            <w:r>
              <w:rPr>
                <w:rFonts w:ascii="Arial" w:hAnsi="Arial" w:cs="Arial"/>
                <w:color w:val="000000"/>
                <w:sz w:val="20"/>
                <w:szCs w:val="20"/>
              </w:rPr>
              <w:t xml:space="preserve"> </w:t>
            </w:r>
            <w:r w:rsidRPr="00F80DA3">
              <w:rPr>
                <w:rFonts w:ascii="Arial" w:hAnsi="Arial" w:cs="Arial"/>
                <w:color w:val="000000"/>
                <w:sz w:val="20"/>
                <w:szCs w:val="20"/>
              </w:rPr>
              <w:t>Agenda 2030 para el Desarrollo Sostenible, un mayor reconocimiento por parte de la</w:t>
            </w:r>
            <w:r>
              <w:rPr>
                <w:rFonts w:ascii="Arial" w:hAnsi="Arial" w:cs="Arial"/>
                <w:color w:val="000000"/>
                <w:sz w:val="20"/>
                <w:szCs w:val="20"/>
              </w:rPr>
              <w:t xml:space="preserve"> </w:t>
            </w:r>
            <w:r w:rsidRPr="00F80DA3">
              <w:rPr>
                <w:rFonts w:ascii="Arial" w:hAnsi="Arial" w:cs="Arial"/>
                <w:color w:val="000000"/>
                <w:sz w:val="20"/>
                <w:szCs w:val="20"/>
              </w:rPr>
              <w:t xml:space="preserve">comunidad internacional de la necesidad de promover el </w:t>
            </w:r>
            <w:r w:rsidRPr="00F80DA3">
              <w:rPr>
                <w:rFonts w:ascii="Arial" w:hAnsi="Arial" w:cs="Arial"/>
                <w:color w:val="000000"/>
                <w:sz w:val="20"/>
                <w:szCs w:val="20"/>
              </w:rPr>
              <w:lastRenderedPageBreak/>
              <w:t>a</w:t>
            </w:r>
            <w:r>
              <w:rPr>
                <w:rFonts w:ascii="Arial" w:hAnsi="Arial" w:cs="Arial"/>
                <w:color w:val="000000"/>
                <w:sz w:val="20"/>
                <w:szCs w:val="20"/>
              </w:rPr>
              <w:t xml:space="preserve">prendizaje a lo largo de toda la </w:t>
            </w:r>
            <w:r w:rsidRPr="00F80DA3">
              <w:rPr>
                <w:rFonts w:ascii="Arial" w:hAnsi="Arial" w:cs="Arial"/>
                <w:color w:val="000000"/>
                <w:sz w:val="20"/>
                <w:szCs w:val="20"/>
              </w:rPr>
              <w:t>vida, como lo ilustran el Objetivo de Desarrollo Sostenible (ODS) 4 y la Comisión Internacional</w:t>
            </w:r>
            <w:r>
              <w:rPr>
                <w:rFonts w:ascii="Arial" w:hAnsi="Arial" w:cs="Arial"/>
                <w:color w:val="000000"/>
                <w:sz w:val="20"/>
                <w:szCs w:val="20"/>
              </w:rPr>
              <w:t xml:space="preserve"> </w:t>
            </w:r>
            <w:r w:rsidRPr="00F80DA3">
              <w:rPr>
                <w:rFonts w:ascii="Arial" w:hAnsi="Arial" w:cs="Arial"/>
                <w:color w:val="000000"/>
                <w:sz w:val="20"/>
                <w:szCs w:val="20"/>
              </w:rPr>
              <w:t>sobre los Futuros de la Educación, la mejora del seguimiento mundial del AEA a través de los</w:t>
            </w:r>
            <w:r>
              <w:rPr>
                <w:rFonts w:ascii="Arial" w:hAnsi="Arial" w:cs="Arial"/>
                <w:color w:val="000000"/>
                <w:sz w:val="20"/>
                <w:szCs w:val="20"/>
              </w:rPr>
              <w:t xml:space="preserve"> </w:t>
            </w:r>
            <w:r w:rsidRPr="00F80DA3">
              <w:rPr>
                <w:rFonts w:ascii="Arial" w:hAnsi="Arial" w:cs="Arial"/>
                <w:color w:val="000000"/>
                <w:sz w:val="20"/>
                <w:szCs w:val="20"/>
              </w:rPr>
              <w:t>cinco reportes GRALE, el Informe de Seguimiento de la Educación en el Mundo (GEM) y otros</w:t>
            </w:r>
            <w:r>
              <w:rPr>
                <w:rFonts w:ascii="Arial" w:hAnsi="Arial" w:cs="Arial"/>
                <w:color w:val="000000"/>
                <w:sz w:val="20"/>
                <w:szCs w:val="20"/>
              </w:rPr>
              <w:t xml:space="preserve"> </w:t>
            </w:r>
            <w:r w:rsidRPr="00F80DA3">
              <w:rPr>
                <w:rFonts w:ascii="Arial" w:hAnsi="Arial" w:cs="Arial"/>
                <w:color w:val="000000"/>
                <w:sz w:val="20"/>
                <w:szCs w:val="20"/>
              </w:rPr>
              <w:t>esfuerzos, así como los pasos dados hacia la integración del AEA en la agenda y la arquitectura</w:t>
            </w:r>
            <w:r>
              <w:rPr>
                <w:rFonts w:ascii="Arial" w:hAnsi="Arial" w:cs="Arial"/>
                <w:color w:val="000000"/>
                <w:sz w:val="20"/>
                <w:szCs w:val="20"/>
              </w:rPr>
              <w:t xml:space="preserve"> </w:t>
            </w:r>
            <w:r w:rsidRPr="00F80DA3">
              <w:rPr>
                <w:rFonts w:ascii="Arial" w:hAnsi="Arial" w:cs="Arial"/>
                <w:color w:val="000000"/>
                <w:sz w:val="20"/>
                <w:szCs w:val="20"/>
              </w:rPr>
              <w:t>de la educación a nivel mundial . En ese sentido, se han tenido muchos logros pero es</w:t>
            </w:r>
            <w:r>
              <w:rPr>
                <w:rFonts w:ascii="Arial" w:hAnsi="Arial" w:cs="Arial"/>
                <w:color w:val="000000"/>
                <w:sz w:val="20"/>
                <w:szCs w:val="20"/>
              </w:rPr>
              <w:t xml:space="preserve"> </w:t>
            </w:r>
            <w:r w:rsidRPr="00F80DA3">
              <w:rPr>
                <w:rFonts w:ascii="Arial" w:hAnsi="Arial" w:cs="Arial"/>
                <w:color w:val="000000"/>
                <w:sz w:val="20"/>
                <w:szCs w:val="20"/>
              </w:rPr>
              <w:t>necesario seguir trabajando.</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F80DA3">
              <w:rPr>
                <w:rFonts w:ascii="Arial" w:hAnsi="Arial" w:cs="Arial"/>
                <w:color w:val="000000"/>
                <w:sz w:val="20"/>
                <w:szCs w:val="20"/>
              </w:rPr>
              <w:t xml:space="preserve">Subrayamos el impacto estructural a largo plazo de la </w:t>
            </w:r>
            <w:r w:rsidRPr="00F80DA3">
              <w:rPr>
                <w:rFonts w:ascii="Arial" w:hAnsi="Arial" w:cs="Arial"/>
                <w:b/>
                <w:bCs/>
                <w:color w:val="000000"/>
                <w:sz w:val="20"/>
                <w:szCs w:val="20"/>
              </w:rPr>
              <w:t xml:space="preserve">pandemia de COVID-19 </w:t>
            </w:r>
            <w:r w:rsidRPr="00F80DA3">
              <w:rPr>
                <w:rFonts w:ascii="Arial" w:hAnsi="Arial" w:cs="Arial"/>
                <w:color w:val="000000"/>
                <w:sz w:val="20"/>
                <w:szCs w:val="20"/>
              </w:rPr>
              <w:t>con sus</w:t>
            </w:r>
            <w:r>
              <w:rPr>
                <w:rFonts w:ascii="Arial" w:hAnsi="Arial" w:cs="Arial"/>
                <w:color w:val="000000"/>
                <w:sz w:val="20"/>
                <w:szCs w:val="20"/>
              </w:rPr>
              <w:t xml:space="preserve"> </w:t>
            </w:r>
            <w:r w:rsidRPr="00F80DA3">
              <w:rPr>
                <w:rFonts w:ascii="Arial" w:hAnsi="Arial" w:cs="Arial"/>
                <w:color w:val="000000"/>
                <w:sz w:val="20"/>
                <w:szCs w:val="20"/>
              </w:rPr>
              <w:t>consecuencias positivas y negativas para el AEA. Al efectuar cambios y transformaciones</w:t>
            </w:r>
            <w:r>
              <w:rPr>
                <w:rFonts w:ascii="Arial" w:hAnsi="Arial" w:cs="Arial"/>
                <w:color w:val="000000"/>
                <w:sz w:val="20"/>
                <w:szCs w:val="20"/>
              </w:rPr>
              <w:t xml:space="preserve"> </w:t>
            </w:r>
            <w:r w:rsidRPr="00F80DA3">
              <w:rPr>
                <w:rFonts w:ascii="Arial" w:hAnsi="Arial" w:cs="Arial"/>
                <w:color w:val="000000"/>
                <w:sz w:val="20"/>
                <w:szCs w:val="20"/>
              </w:rPr>
              <w:t>estructurales en las sociedades y economías, la pandemia ha atraído atención adicional sobre</w:t>
            </w:r>
            <w:r>
              <w:rPr>
                <w:rFonts w:ascii="Arial" w:hAnsi="Arial" w:cs="Arial"/>
                <w:color w:val="000000"/>
                <w:sz w:val="20"/>
                <w:szCs w:val="20"/>
              </w:rPr>
              <w:t xml:space="preserve"> </w:t>
            </w:r>
            <w:r w:rsidRPr="001C6905">
              <w:rPr>
                <w:rFonts w:ascii="Arial" w:hAnsi="Arial" w:cs="Arial"/>
                <w:color w:val="000000"/>
                <w:sz w:val="20"/>
                <w:szCs w:val="20"/>
              </w:rPr>
              <w:t>la necesidad de que los gobiernos y las comunidades desarrollen e implementen estrategias</w:t>
            </w:r>
            <w:r>
              <w:rPr>
                <w:rFonts w:ascii="Arial" w:hAnsi="Arial" w:cs="Arial"/>
                <w:color w:val="000000"/>
                <w:sz w:val="20"/>
                <w:szCs w:val="20"/>
              </w:rPr>
              <w:t xml:space="preserve"> </w:t>
            </w:r>
            <w:r w:rsidRPr="001C6905">
              <w:rPr>
                <w:rFonts w:ascii="Arial" w:hAnsi="Arial" w:cs="Arial"/>
                <w:color w:val="000000"/>
                <w:sz w:val="20"/>
                <w:szCs w:val="20"/>
              </w:rPr>
              <w:t>para la adquisición de conocimientos, habilidades y competencias, así como políticas de</w:t>
            </w:r>
            <w:r>
              <w:rPr>
                <w:rFonts w:ascii="Arial" w:hAnsi="Arial" w:cs="Arial"/>
                <w:color w:val="000000"/>
                <w:sz w:val="20"/>
                <w:szCs w:val="20"/>
              </w:rPr>
              <w:t xml:space="preserve"> </w:t>
            </w:r>
            <w:r w:rsidRPr="001C6905">
              <w:rPr>
                <w:rFonts w:ascii="Arial" w:hAnsi="Arial" w:cs="Arial"/>
                <w:color w:val="000000"/>
                <w:sz w:val="20"/>
                <w:szCs w:val="20"/>
              </w:rPr>
              <w:t>aprendizaje que apoyen a jóvenes y adultos para que desarrollen nuevas competencias frente</w:t>
            </w:r>
            <w:r>
              <w:rPr>
                <w:rFonts w:ascii="Arial" w:hAnsi="Arial" w:cs="Arial"/>
                <w:color w:val="000000"/>
                <w:sz w:val="20"/>
                <w:szCs w:val="20"/>
              </w:rPr>
              <w:t xml:space="preserve"> </w:t>
            </w:r>
            <w:r w:rsidRPr="001C6905">
              <w:rPr>
                <w:rFonts w:ascii="Arial" w:hAnsi="Arial" w:cs="Arial"/>
                <w:color w:val="000000"/>
                <w:sz w:val="20"/>
                <w:szCs w:val="20"/>
              </w:rPr>
              <w:t>a ese cambio. Además, al desencadenar el cierre total y parcial de los centros educativos, ha</w:t>
            </w:r>
            <w:r>
              <w:rPr>
                <w:rFonts w:ascii="Arial" w:hAnsi="Arial" w:cs="Arial"/>
                <w:color w:val="000000"/>
                <w:sz w:val="20"/>
                <w:szCs w:val="20"/>
              </w:rPr>
              <w:t xml:space="preserve"> </w:t>
            </w:r>
            <w:r w:rsidRPr="001C6905">
              <w:rPr>
                <w:rFonts w:ascii="Arial" w:hAnsi="Arial" w:cs="Arial"/>
                <w:color w:val="000000"/>
                <w:sz w:val="20"/>
                <w:szCs w:val="20"/>
              </w:rPr>
              <w:t xml:space="preserve">provocado una </w:t>
            </w:r>
            <w:proofErr w:type="spellStart"/>
            <w:r w:rsidRPr="001C6905">
              <w:rPr>
                <w:rFonts w:ascii="Arial" w:hAnsi="Arial" w:cs="Arial"/>
                <w:color w:val="000000"/>
                <w:sz w:val="20"/>
                <w:szCs w:val="20"/>
              </w:rPr>
              <w:t>difuminación</w:t>
            </w:r>
            <w:proofErr w:type="spellEnd"/>
            <w:r w:rsidRPr="001C6905">
              <w:rPr>
                <w:rFonts w:ascii="Arial" w:hAnsi="Arial" w:cs="Arial"/>
                <w:color w:val="000000"/>
                <w:sz w:val="20"/>
                <w:szCs w:val="20"/>
              </w:rPr>
              <w:t xml:space="preserve"> de los límites entre el aprendizaje formal, no formal e informal.</w:t>
            </w:r>
            <w:r>
              <w:rPr>
                <w:rFonts w:ascii="Arial" w:hAnsi="Arial" w:cs="Arial"/>
                <w:color w:val="000000"/>
                <w:sz w:val="20"/>
                <w:szCs w:val="20"/>
              </w:rPr>
              <w:t xml:space="preserve"> </w:t>
            </w:r>
            <w:r w:rsidRPr="001C6905">
              <w:rPr>
                <w:rFonts w:ascii="Arial" w:hAnsi="Arial" w:cs="Arial"/>
                <w:color w:val="000000"/>
                <w:sz w:val="20"/>
                <w:szCs w:val="20"/>
              </w:rPr>
              <w:t>El aprendizaje recíproco entre escolares, hermanos y padres ha aumentado, lo que ha puesto</w:t>
            </w:r>
            <w:r>
              <w:rPr>
                <w:rFonts w:ascii="Arial" w:hAnsi="Arial" w:cs="Arial"/>
                <w:color w:val="000000"/>
                <w:sz w:val="20"/>
                <w:szCs w:val="20"/>
              </w:rPr>
              <w:t xml:space="preserve"> </w:t>
            </w:r>
            <w:r w:rsidRPr="001C6905">
              <w:rPr>
                <w:rFonts w:ascii="Arial" w:hAnsi="Arial" w:cs="Arial"/>
                <w:color w:val="000000"/>
                <w:sz w:val="20"/>
                <w:szCs w:val="20"/>
              </w:rPr>
              <w:t>en evidencia el valor del aprendizaje familiar e intergeneracional.</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1C6905">
              <w:rPr>
                <w:rFonts w:ascii="Arial" w:hAnsi="Arial" w:cs="Arial"/>
                <w:color w:val="000000"/>
                <w:sz w:val="20"/>
                <w:szCs w:val="20"/>
              </w:rPr>
              <w:t xml:space="preserve">Recordamos la </w:t>
            </w:r>
            <w:r w:rsidRPr="001C6905">
              <w:rPr>
                <w:rFonts w:ascii="Arial" w:hAnsi="Arial" w:cs="Arial"/>
                <w:b/>
                <w:bCs/>
                <w:color w:val="000000"/>
                <w:sz w:val="20"/>
                <w:szCs w:val="20"/>
              </w:rPr>
              <w:t>Agenda 2030 para el Desarrollo Sostenible</w:t>
            </w:r>
            <w:r w:rsidRPr="001C6905">
              <w:rPr>
                <w:rFonts w:ascii="Arial" w:hAnsi="Arial" w:cs="Arial"/>
                <w:color w:val="000000"/>
                <w:sz w:val="20"/>
                <w:szCs w:val="20"/>
              </w:rPr>
              <w:t>, adoptada por la Asamblea</w:t>
            </w:r>
            <w:r>
              <w:rPr>
                <w:rFonts w:ascii="Arial" w:hAnsi="Arial" w:cs="Arial"/>
                <w:color w:val="000000"/>
                <w:sz w:val="20"/>
                <w:szCs w:val="20"/>
              </w:rPr>
              <w:t xml:space="preserve"> </w:t>
            </w:r>
            <w:r w:rsidRPr="001C6905">
              <w:rPr>
                <w:rFonts w:ascii="Arial" w:hAnsi="Arial" w:cs="Arial"/>
                <w:color w:val="000000"/>
                <w:sz w:val="20"/>
                <w:szCs w:val="20"/>
              </w:rPr>
              <w:t>General de las Naciones Unidas (ONU) en 2015, y nos comprometemos a alcanzar los 17</w:t>
            </w:r>
            <w:r>
              <w:rPr>
                <w:rFonts w:ascii="Arial" w:hAnsi="Arial" w:cs="Arial"/>
                <w:color w:val="000000"/>
                <w:sz w:val="20"/>
                <w:szCs w:val="20"/>
              </w:rPr>
              <w:t xml:space="preserve"> </w:t>
            </w:r>
            <w:r w:rsidRPr="001C6905">
              <w:rPr>
                <w:rFonts w:ascii="Arial" w:hAnsi="Arial" w:cs="Arial"/>
                <w:color w:val="000000"/>
                <w:sz w:val="20"/>
                <w:szCs w:val="20"/>
              </w:rPr>
              <w:t>Objetivos de Desarrollo Sostenible (ODS). Reconocemos que el aprendizaje a lo largo de toda</w:t>
            </w:r>
            <w:r>
              <w:rPr>
                <w:rFonts w:ascii="Arial" w:hAnsi="Arial" w:cs="Arial"/>
                <w:color w:val="000000"/>
                <w:sz w:val="20"/>
                <w:szCs w:val="20"/>
              </w:rPr>
              <w:t xml:space="preserve"> </w:t>
            </w:r>
            <w:r w:rsidRPr="001C6905">
              <w:rPr>
                <w:rFonts w:ascii="Arial" w:hAnsi="Arial" w:cs="Arial"/>
                <w:color w:val="000000"/>
                <w:sz w:val="20"/>
                <w:szCs w:val="20"/>
              </w:rPr>
              <w:t>la vida es fundamental para los 17 objetivos y, como dimensión central del aprendizaje a lo</w:t>
            </w:r>
            <w:r>
              <w:rPr>
                <w:rFonts w:ascii="Arial" w:hAnsi="Arial" w:cs="Arial"/>
                <w:color w:val="000000"/>
                <w:sz w:val="20"/>
                <w:szCs w:val="20"/>
              </w:rPr>
              <w:t xml:space="preserve"> </w:t>
            </w:r>
            <w:r w:rsidRPr="001C6905">
              <w:rPr>
                <w:rFonts w:ascii="Arial" w:hAnsi="Arial" w:cs="Arial"/>
                <w:color w:val="000000"/>
                <w:sz w:val="20"/>
                <w:szCs w:val="20"/>
              </w:rPr>
              <w:t>largo de toda la vida, el AEA es indispensable para su consecución, apoyando así una sociedad</w:t>
            </w:r>
            <w:r>
              <w:rPr>
                <w:rFonts w:ascii="Arial" w:hAnsi="Arial" w:cs="Arial"/>
                <w:color w:val="000000"/>
                <w:sz w:val="20"/>
                <w:szCs w:val="20"/>
              </w:rPr>
              <w:t xml:space="preserve"> </w:t>
            </w:r>
            <w:r w:rsidRPr="001C6905">
              <w:rPr>
                <w:rFonts w:ascii="Arial" w:hAnsi="Arial" w:cs="Arial"/>
                <w:color w:val="000000"/>
                <w:sz w:val="20"/>
                <w:szCs w:val="20"/>
              </w:rPr>
              <w:t>del aprendizaje. Reafirmamos especialmente nuestro compromiso con el ODS 4, mediante el</w:t>
            </w:r>
            <w:r>
              <w:rPr>
                <w:rFonts w:ascii="Arial" w:hAnsi="Arial" w:cs="Arial"/>
                <w:color w:val="000000"/>
                <w:sz w:val="20"/>
                <w:szCs w:val="20"/>
              </w:rPr>
              <w:t xml:space="preserve"> </w:t>
            </w:r>
            <w:r w:rsidRPr="001C6905">
              <w:rPr>
                <w:rFonts w:ascii="Arial" w:hAnsi="Arial" w:cs="Arial"/>
                <w:color w:val="000000"/>
                <w:sz w:val="20"/>
                <w:szCs w:val="20"/>
              </w:rPr>
              <w:t>cual los Estados Miembros se han comprometido a "garantizar una educación de calidad</w:t>
            </w:r>
            <w:r>
              <w:rPr>
                <w:rFonts w:ascii="Arial" w:hAnsi="Arial" w:cs="Arial"/>
                <w:color w:val="000000"/>
                <w:sz w:val="20"/>
                <w:szCs w:val="20"/>
              </w:rPr>
              <w:t xml:space="preserve"> </w:t>
            </w:r>
            <w:r w:rsidRPr="001C6905">
              <w:rPr>
                <w:rFonts w:ascii="Arial" w:hAnsi="Arial" w:cs="Arial"/>
                <w:color w:val="000000"/>
                <w:sz w:val="20"/>
                <w:szCs w:val="20"/>
              </w:rPr>
              <w:t>inclusiva y equitativa, y promover oportunidades de aprendizaje a lo largo de toda la vida</w:t>
            </w:r>
            <w:r>
              <w:rPr>
                <w:rFonts w:ascii="Arial" w:hAnsi="Arial" w:cs="Arial"/>
                <w:color w:val="000000"/>
                <w:sz w:val="20"/>
                <w:szCs w:val="20"/>
              </w:rPr>
              <w:t xml:space="preserve"> </w:t>
            </w:r>
            <w:r w:rsidRPr="001C6905">
              <w:rPr>
                <w:rFonts w:ascii="Arial" w:hAnsi="Arial" w:cs="Arial"/>
                <w:color w:val="000000"/>
                <w:sz w:val="20"/>
                <w:szCs w:val="20"/>
              </w:rPr>
              <w:t xml:space="preserve">para todos". Recordamos la </w:t>
            </w:r>
            <w:r w:rsidRPr="001C6905">
              <w:rPr>
                <w:rFonts w:ascii="Arial" w:hAnsi="Arial" w:cs="Arial"/>
                <w:b/>
                <w:bCs/>
                <w:color w:val="000000"/>
                <w:sz w:val="20"/>
                <w:szCs w:val="20"/>
              </w:rPr>
              <w:t>Declaración de Berlín sobre la Educación para el Desarrollo</w:t>
            </w:r>
            <w:r>
              <w:rPr>
                <w:rFonts w:ascii="Arial" w:hAnsi="Arial" w:cs="Arial"/>
                <w:b/>
                <w:bCs/>
                <w:color w:val="000000"/>
                <w:sz w:val="20"/>
                <w:szCs w:val="20"/>
              </w:rPr>
              <w:t xml:space="preserve"> </w:t>
            </w:r>
            <w:r w:rsidRPr="001C6905">
              <w:rPr>
                <w:rFonts w:ascii="Arial" w:hAnsi="Arial" w:cs="Arial"/>
                <w:b/>
                <w:bCs/>
                <w:color w:val="000000"/>
                <w:sz w:val="20"/>
                <w:szCs w:val="20"/>
              </w:rPr>
              <w:t>Sostenible</w:t>
            </w:r>
            <w:r w:rsidRPr="001C6905">
              <w:rPr>
                <w:rFonts w:ascii="Arial" w:hAnsi="Arial" w:cs="Arial"/>
                <w:color w:val="000000"/>
                <w:sz w:val="20"/>
                <w:szCs w:val="20"/>
              </w:rPr>
              <w:t>, adoptada en mayo de 2021, e invitamos a los educandos adultos a contribuir a la</w:t>
            </w:r>
            <w:r>
              <w:rPr>
                <w:rFonts w:ascii="Arial" w:hAnsi="Arial" w:cs="Arial"/>
                <w:color w:val="000000"/>
                <w:sz w:val="20"/>
                <w:szCs w:val="20"/>
              </w:rPr>
              <w:t xml:space="preserve"> </w:t>
            </w:r>
            <w:r w:rsidRPr="001C6905">
              <w:rPr>
                <w:rFonts w:ascii="Arial" w:hAnsi="Arial" w:cs="Arial"/>
                <w:color w:val="000000"/>
                <w:sz w:val="20"/>
                <w:szCs w:val="20"/>
              </w:rPr>
              <w:t>aplicación de sus 16 recomendaciones. También reconocemos el informe de la Comisión</w:t>
            </w:r>
            <w:r>
              <w:rPr>
                <w:rFonts w:ascii="Arial" w:hAnsi="Arial" w:cs="Arial"/>
                <w:color w:val="000000"/>
                <w:sz w:val="20"/>
                <w:szCs w:val="20"/>
              </w:rPr>
              <w:t xml:space="preserve"> </w:t>
            </w:r>
            <w:r w:rsidRPr="001C6905">
              <w:rPr>
                <w:rFonts w:ascii="Arial" w:hAnsi="Arial" w:cs="Arial"/>
                <w:color w:val="000000"/>
                <w:sz w:val="20"/>
                <w:szCs w:val="20"/>
              </w:rPr>
              <w:t xml:space="preserve">Internacional sobre los Futuros de la Educación (UNESCO, 2021), </w:t>
            </w:r>
            <w:r w:rsidRPr="001C6905">
              <w:rPr>
                <w:rFonts w:ascii="Arial" w:hAnsi="Arial" w:cs="Arial"/>
                <w:i/>
                <w:iCs/>
                <w:color w:val="000000"/>
                <w:sz w:val="20"/>
                <w:szCs w:val="20"/>
              </w:rPr>
              <w:t>Reimaginar juntos nuestros</w:t>
            </w:r>
            <w:r>
              <w:rPr>
                <w:rFonts w:ascii="Arial" w:hAnsi="Arial" w:cs="Arial"/>
                <w:i/>
                <w:iCs/>
                <w:color w:val="000000"/>
                <w:sz w:val="20"/>
                <w:szCs w:val="20"/>
              </w:rPr>
              <w:t xml:space="preserve"> </w:t>
            </w:r>
            <w:r w:rsidRPr="001C6905">
              <w:rPr>
                <w:rFonts w:ascii="Arial" w:hAnsi="Arial" w:cs="Arial"/>
                <w:i/>
                <w:iCs/>
                <w:color w:val="000000"/>
                <w:sz w:val="20"/>
                <w:szCs w:val="20"/>
              </w:rPr>
              <w:t xml:space="preserve">futuros: Un nuevo </w:t>
            </w:r>
            <w:r w:rsidRPr="001C6905">
              <w:rPr>
                <w:rFonts w:ascii="Arial" w:hAnsi="Arial" w:cs="Arial"/>
                <w:i/>
                <w:iCs/>
                <w:color w:val="000000"/>
                <w:sz w:val="20"/>
                <w:szCs w:val="20"/>
              </w:rPr>
              <w:lastRenderedPageBreak/>
              <w:t>contrato social para la educación</w:t>
            </w:r>
            <w:r w:rsidRPr="001C6905">
              <w:rPr>
                <w:rFonts w:ascii="Arial" w:hAnsi="Arial" w:cs="Arial"/>
                <w:color w:val="000000"/>
                <w:sz w:val="20"/>
                <w:szCs w:val="20"/>
              </w:rPr>
              <w:t>, que afirma el derecho a una educación</w:t>
            </w:r>
            <w:r>
              <w:rPr>
                <w:rFonts w:ascii="Arial" w:hAnsi="Arial" w:cs="Arial"/>
                <w:color w:val="000000"/>
                <w:sz w:val="20"/>
                <w:szCs w:val="20"/>
              </w:rPr>
              <w:t xml:space="preserve"> </w:t>
            </w:r>
            <w:r w:rsidRPr="001C6905">
              <w:rPr>
                <w:rFonts w:ascii="Arial" w:hAnsi="Arial" w:cs="Arial"/>
                <w:color w:val="000000"/>
                <w:sz w:val="20"/>
                <w:szCs w:val="20"/>
              </w:rPr>
              <w:t>de calidad para cada niño, joven y adulto, y aboga por el potencial transformador de la</w:t>
            </w:r>
            <w:r>
              <w:rPr>
                <w:rFonts w:ascii="Arial" w:hAnsi="Arial" w:cs="Arial"/>
                <w:color w:val="000000"/>
                <w:sz w:val="20"/>
                <w:szCs w:val="20"/>
              </w:rPr>
              <w:t xml:space="preserve"> </w:t>
            </w:r>
            <w:r w:rsidRPr="001C6905">
              <w:rPr>
                <w:rFonts w:ascii="Arial" w:hAnsi="Arial" w:cs="Arial"/>
                <w:color w:val="000000"/>
                <w:sz w:val="20"/>
                <w:szCs w:val="20"/>
              </w:rPr>
              <w:t>educación y el aprendizaje como contribución a un futuro sostenible.</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1C6905">
              <w:rPr>
                <w:rFonts w:ascii="Arial" w:hAnsi="Arial" w:cs="Arial"/>
                <w:color w:val="000000"/>
                <w:sz w:val="20"/>
                <w:szCs w:val="20"/>
              </w:rPr>
              <w:t xml:space="preserve">Respaldamos la </w:t>
            </w:r>
            <w:r w:rsidRPr="001C6905">
              <w:rPr>
                <w:rFonts w:ascii="Arial" w:hAnsi="Arial" w:cs="Arial"/>
                <w:b/>
                <w:bCs/>
                <w:color w:val="000000"/>
                <w:sz w:val="20"/>
                <w:szCs w:val="20"/>
              </w:rPr>
              <w:t>Recomendación sobre el Aprendizaje y la Educación de Adultos (RALE)</w:t>
            </w:r>
            <w:r w:rsidRPr="001C6905">
              <w:rPr>
                <w:rFonts w:ascii="Arial" w:hAnsi="Arial" w:cs="Arial"/>
                <w:color w:val="000000"/>
                <w:sz w:val="20"/>
                <w:szCs w:val="20"/>
              </w:rPr>
              <w:t>,</w:t>
            </w:r>
            <w:r>
              <w:rPr>
                <w:rFonts w:ascii="Arial" w:hAnsi="Arial" w:cs="Arial"/>
                <w:color w:val="000000"/>
                <w:sz w:val="20"/>
                <w:szCs w:val="20"/>
              </w:rPr>
              <w:t xml:space="preserve"> </w:t>
            </w:r>
            <w:r w:rsidRPr="001C6905">
              <w:rPr>
                <w:rFonts w:ascii="Arial" w:hAnsi="Arial" w:cs="Arial"/>
                <w:color w:val="000000"/>
                <w:sz w:val="20"/>
                <w:szCs w:val="20"/>
              </w:rPr>
              <w:t>adoptada por la Conferencia General de la UNESCO en 2015, incluida su definición de AEA</w:t>
            </w:r>
            <w:r w:rsidR="00107E80">
              <w:rPr>
                <w:rFonts w:ascii="Arial" w:hAnsi="Arial" w:cs="Arial"/>
                <w:color w:val="000000"/>
                <w:sz w:val="20"/>
                <w:szCs w:val="20"/>
              </w:rPr>
              <w:t xml:space="preserve"> </w:t>
            </w:r>
            <w:r w:rsidRPr="001C6905">
              <w:rPr>
                <w:rFonts w:ascii="Arial" w:hAnsi="Arial" w:cs="Arial"/>
                <w:color w:val="000000"/>
                <w:sz w:val="20"/>
                <w:szCs w:val="20"/>
              </w:rPr>
              <w:t>y</w:t>
            </w:r>
            <w:r>
              <w:rPr>
                <w:rFonts w:ascii="Arial" w:hAnsi="Arial" w:cs="Arial"/>
                <w:color w:val="000000"/>
                <w:sz w:val="20"/>
                <w:szCs w:val="20"/>
              </w:rPr>
              <w:t xml:space="preserve"> </w:t>
            </w:r>
            <w:r w:rsidRPr="001C6905">
              <w:rPr>
                <w:rFonts w:ascii="Arial" w:hAnsi="Arial" w:cs="Arial"/>
                <w:color w:val="000000"/>
                <w:sz w:val="20"/>
                <w:szCs w:val="20"/>
              </w:rPr>
              <w:t>la identificación de tres ámbitos clave de aprendizaje: alfabetización y competencias básicas;</w:t>
            </w:r>
            <w:r>
              <w:rPr>
                <w:rFonts w:ascii="Arial" w:hAnsi="Arial" w:cs="Arial"/>
                <w:color w:val="000000"/>
                <w:sz w:val="20"/>
                <w:szCs w:val="20"/>
              </w:rPr>
              <w:t xml:space="preserve"> </w:t>
            </w:r>
            <w:r w:rsidRPr="001C6905">
              <w:rPr>
                <w:rFonts w:ascii="Arial" w:hAnsi="Arial" w:cs="Arial"/>
                <w:color w:val="000000"/>
                <w:sz w:val="20"/>
                <w:szCs w:val="20"/>
              </w:rPr>
              <w:t>educación continua y competencias profesionales; y educación liberal, popular y comunitaria, y competencias ciudadanas.</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714EE7">
              <w:rPr>
                <w:rFonts w:ascii="Arial" w:hAnsi="Arial" w:cs="Arial"/>
                <w:color w:val="000000"/>
                <w:sz w:val="20"/>
                <w:szCs w:val="20"/>
              </w:rPr>
              <w:t xml:space="preserve">Reafirmamos que el </w:t>
            </w:r>
            <w:r w:rsidRPr="00714EE7">
              <w:rPr>
                <w:rFonts w:ascii="Arial" w:hAnsi="Arial" w:cs="Arial"/>
                <w:b/>
                <w:bCs/>
                <w:color w:val="000000"/>
                <w:sz w:val="20"/>
                <w:szCs w:val="20"/>
              </w:rPr>
              <w:t>AEA es un componente esencial del aprendizaje a lo largo de toda la</w:t>
            </w:r>
            <w:r>
              <w:rPr>
                <w:rFonts w:ascii="Arial" w:hAnsi="Arial" w:cs="Arial"/>
                <w:b/>
                <w:bCs/>
                <w:color w:val="000000"/>
                <w:sz w:val="20"/>
                <w:szCs w:val="20"/>
              </w:rPr>
              <w:t xml:space="preserve"> </w:t>
            </w:r>
            <w:r w:rsidRPr="00714EE7">
              <w:rPr>
                <w:rFonts w:ascii="Arial" w:hAnsi="Arial" w:cs="Arial"/>
                <w:b/>
                <w:bCs/>
                <w:color w:val="000000"/>
                <w:sz w:val="20"/>
                <w:szCs w:val="20"/>
              </w:rPr>
              <w:t>vida</w:t>
            </w:r>
            <w:r w:rsidRPr="00714EE7">
              <w:rPr>
                <w:rFonts w:ascii="Arial" w:hAnsi="Arial" w:cs="Arial"/>
                <w:color w:val="000000"/>
                <w:sz w:val="20"/>
                <w:szCs w:val="20"/>
              </w:rPr>
              <w:t>, señalando que las políticas y prácticas de AEA se aplican a una amplia gama de edades,</w:t>
            </w:r>
            <w:r>
              <w:rPr>
                <w:rFonts w:ascii="Arial" w:hAnsi="Arial" w:cs="Arial"/>
                <w:color w:val="000000"/>
                <w:sz w:val="20"/>
                <w:szCs w:val="20"/>
              </w:rPr>
              <w:t xml:space="preserve"> </w:t>
            </w:r>
            <w:r w:rsidRPr="00714EE7">
              <w:rPr>
                <w:rFonts w:ascii="Arial" w:hAnsi="Arial" w:cs="Arial"/>
                <w:color w:val="000000"/>
                <w:sz w:val="20"/>
                <w:szCs w:val="20"/>
              </w:rPr>
              <w:t>niveles educativos, espacios y modalidades de aprendizaje, y reconociendo que el</w:t>
            </w:r>
            <w:r>
              <w:rPr>
                <w:rFonts w:ascii="Arial" w:hAnsi="Arial" w:cs="Arial"/>
                <w:color w:val="000000"/>
                <w:sz w:val="20"/>
                <w:szCs w:val="20"/>
              </w:rPr>
              <w:t xml:space="preserve"> </w:t>
            </w:r>
            <w:r w:rsidRPr="00714EE7">
              <w:rPr>
                <w:rFonts w:ascii="Arial" w:hAnsi="Arial" w:cs="Arial"/>
                <w:color w:val="000000"/>
                <w:sz w:val="20"/>
                <w:szCs w:val="20"/>
              </w:rPr>
              <w:t>aprendizaje a lo largo de toda la vida es el principal motor de una sociedad del aprendizaje a</w:t>
            </w:r>
            <w:r>
              <w:rPr>
                <w:rFonts w:ascii="Arial" w:hAnsi="Arial" w:cs="Arial"/>
                <w:color w:val="000000"/>
                <w:sz w:val="20"/>
                <w:szCs w:val="20"/>
              </w:rPr>
              <w:t xml:space="preserve"> </w:t>
            </w:r>
            <w:r w:rsidRPr="00714EE7">
              <w:rPr>
                <w:rFonts w:ascii="Arial" w:hAnsi="Arial" w:cs="Arial"/>
                <w:color w:val="000000"/>
                <w:sz w:val="20"/>
                <w:szCs w:val="20"/>
              </w:rPr>
              <w:t>diferentes niveles, que involucra a individuos, familias, organizaciones, lugares de trabajo,</w:t>
            </w:r>
            <w:r>
              <w:rPr>
                <w:rFonts w:ascii="Arial" w:hAnsi="Arial" w:cs="Arial"/>
                <w:color w:val="000000"/>
                <w:sz w:val="20"/>
                <w:szCs w:val="20"/>
              </w:rPr>
              <w:t xml:space="preserve"> </w:t>
            </w:r>
            <w:r w:rsidRPr="00714EE7">
              <w:rPr>
                <w:rFonts w:ascii="Arial" w:hAnsi="Arial" w:cs="Arial"/>
                <w:color w:val="000000"/>
                <w:sz w:val="20"/>
                <w:szCs w:val="20"/>
              </w:rPr>
              <w:t>barrios, ciudades y regiones.</w:t>
            </w:r>
          </w:p>
          <w:p w:rsid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714EE7">
              <w:rPr>
                <w:rFonts w:ascii="Arial" w:hAnsi="Arial" w:cs="Arial"/>
                <w:color w:val="000000"/>
                <w:sz w:val="20"/>
                <w:szCs w:val="20"/>
              </w:rPr>
              <w:t>Afirmamos firmemente que la educación, incluyendo el AEA, es un derecho humano, un</w:t>
            </w:r>
            <w:r>
              <w:rPr>
                <w:rFonts w:ascii="Arial" w:hAnsi="Arial" w:cs="Arial"/>
                <w:color w:val="000000"/>
                <w:sz w:val="20"/>
                <w:szCs w:val="20"/>
              </w:rPr>
              <w:t xml:space="preserve"> </w:t>
            </w:r>
            <w:r w:rsidRPr="00714EE7">
              <w:rPr>
                <w:rFonts w:ascii="Arial" w:hAnsi="Arial" w:cs="Arial"/>
                <w:color w:val="000000"/>
                <w:sz w:val="20"/>
                <w:szCs w:val="20"/>
              </w:rPr>
              <w:t>compromiso que es fundamental para entender y plantear la educación como un esfuerzo</w:t>
            </w:r>
            <w:r>
              <w:rPr>
                <w:rFonts w:ascii="Arial" w:hAnsi="Arial" w:cs="Arial"/>
                <w:color w:val="000000"/>
                <w:sz w:val="20"/>
                <w:szCs w:val="20"/>
              </w:rPr>
              <w:t xml:space="preserve"> </w:t>
            </w:r>
            <w:r w:rsidRPr="00714EE7">
              <w:rPr>
                <w:rFonts w:ascii="Arial" w:hAnsi="Arial" w:cs="Arial"/>
                <w:color w:val="000000"/>
                <w:sz w:val="20"/>
                <w:szCs w:val="20"/>
              </w:rPr>
              <w:t>público y un bien común, como afirma la Comisión Internacional sobre los Futuros de la</w:t>
            </w:r>
            <w:r>
              <w:rPr>
                <w:rFonts w:ascii="Arial" w:hAnsi="Arial" w:cs="Arial"/>
                <w:color w:val="000000"/>
                <w:sz w:val="20"/>
                <w:szCs w:val="20"/>
              </w:rPr>
              <w:t xml:space="preserve"> </w:t>
            </w:r>
            <w:r w:rsidRPr="00714EE7">
              <w:rPr>
                <w:rFonts w:ascii="Arial" w:hAnsi="Arial" w:cs="Arial"/>
                <w:color w:val="000000"/>
                <w:sz w:val="20"/>
                <w:szCs w:val="20"/>
              </w:rPr>
              <w:t>Educación.</w:t>
            </w:r>
          </w:p>
          <w:p w:rsidR="000D0F49" w:rsidRPr="000D0F49" w:rsidRDefault="000D0F49" w:rsidP="000D0F49">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714EE7">
              <w:rPr>
                <w:rFonts w:ascii="Arial" w:hAnsi="Arial" w:cs="Arial"/>
                <w:color w:val="000000"/>
                <w:sz w:val="20"/>
                <w:szCs w:val="20"/>
              </w:rPr>
              <w:t xml:space="preserve">También reconocemos las continuas, ricas y diversas contribuciones de la </w:t>
            </w:r>
            <w:r w:rsidRPr="00714EE7">
              <w:rPr>
                <w:rFonts w:ascii="Arial" w:hAnsi="Arial" w:cs="Arial"/>
                <w:b/>
                <w:bCs/>
                <w:color w:val="000000"/>
                <w:sz w:val="20"/>
                <w:szCs w:val="20"/>
              </w:rPr>
              <w:t>comunidad</w:t>
            </w:r>
            <w:r>
              <w:rPr>
                <w:rFonts w:ascii="Arial" w:hAnsi="Arial" w:cs="Arial"/>
                <w:b/>
                <w:bCs/>
                <w:color w:val="000000"/>
                <w:sz w:val="20"/>
                <w:szCs w:val="20"/>
              </w:rPr>
              <w:t xml:space="preserve"> </w:t>
            </w:r>
            <w:r w:rsidRPr="00714EE7">
              <w:rPr>
                <w:rFonts w:ascii="Arial" w:hAnsi="Arial" w:cs="Arial"/>
                <w:b/>
                <w:bCs/>
                <w:color w:val="000000"/>
                <w:sz w:val="20"/>
                <w:szCs w:val="20"/>
              </w:rPr>
              <w:t>internacional del AEA</w:t>
            </w:r>
            <w:r w:rsidRPr="00714EE7">
              <w:rPr>
                <w:rFonts w:ascii="Arial" w:hAnsi="Arial" w:cs="Arial"/>
                <w:color w:val="000000"/>
                <w:sz w:val="20"/>
                <w:szCs w:val="20"/>
              </w:rPr>
              <w:t>, incluyendo un amplio conjunto de partes interesadas</w:t>
            </w:r>
            <w:r>
              <w:rPr>
                <w:rFonts w:ascii="Arial" w:hAnsi="Arial" w:cs="Arial"/>
                <w:color w:val="000000"/>
                <w:sz w:val="20"/>
                <w:szCs w:val="20"/>
              </w:rPr>
              <w:t xml:space="preserve"> </w:t>
            </w:r>
            <w:r w:rsidRPr="00714EE7">
              <w:rPr>
                <w:rFonts w:ascii="Arial" w:hAnsi="Arial" w:cs="Arial"/>
                <w:color w:val="000000"/>
                <w:sz w:val="20"/>
                <w:szCs w:val="20"/>
              </w:rPr>
              <w:t>gubernamentales y no gubernamentales, y los recientes esfuerzos para apoyar la</w:t>
            </w:r>
            <w:r>
              <w:rPr>
                <w:rFonts w:ascii="Arial" w:hAnsi="Arial" w:cs="Arial"/>
                <w:color w:val="000000"/>
                <w:sz w:val="20"/>
                <w:szCs w:val="20"/>
              </w:rPr>
              <w:t xml:space="preserve"> </w:t>
            </w:r>
            <w:r w:rsidRPr="00714EE7">
              <w:rPr>
                <w:rFonts w:ascii="Arial" w:hAnsi="Arial" w:cs="Arial"/>
                <w:color w:val="000000"/>
                <w:sz w:val="20"/>
                <w:szCs w:val="20"/>
              </w:rPr>
              <w:t>organización de la CONFINTEA VII, incluyendo la participación en las conferencias</w:t>
            </w:r>
            <w:r>
              <w:rPr>
                <w:rFonts w:ascii="Arial" w:hAnsi="Arial" w:cs="Arial"/>
                <w:color w:val="000000"/>
                <w:sz w:val="20"/>
                <w:szCs w:val="20"/>
              </w:rPr>
              <w:t xml:space="preserve"> </w:t>
            </w:r>
            <w:r w:rsidRPr="00714EE7">
              <w:rPr>
                <w:rFonts w:ascii="Arial" w:hAnsi="Arial" w:cs="Arial"/>
                <w:color w:val="000000"/>
                <w:sz w:val="20"/>
                <w:szCs w:val="20"/>
              </w:rPr>
              <w:t>preparatorias regionales y subregionales, cuyos documentos finales, junto con el MAB, el</w:t>
            </w:r>
            <w:r>
              <w:rPr>
                <w:rFonts w:ascii="Arial" w:hAnsi="Arial" w:cs="Arial"/>
                <w:color w:val="000000"/>
                <w:sz w:val="20"/>
                <w:szCs w:val="20"/>
              </w:rPr>
              <w:t xml:space="preserve"> </w:t>
            </w:r>
            <w:r w:rsidRPr="00714EE7">
              <w:rPr>
                <w:rFonts w:ascii="Arial" w:hAnsi="Arial" w:cs="Arial"/>
                <w:color w:val="000000"/>
                <w:sz w:val="20"/>
                <w:szCs w:val="20"/>
              </w:rPr>
              <w:t xml:space="preserve">GRALE, el RALE y el informe de la UNESCO </w:t>
            </w:r>
            <w:r w:rsidRPr="00714EE7">
              <w:rPr>
                <w:rFonts w:ascii="Arial" w:hAnsi="Arial" w:cs="Arial"/>
                <w:i/>
                <w:iCs/>
                <w:color w:val="000000"/>
                <w:sz w:val="20"/>
                <w:szCs w:val="20"/>
              </w:rPr>
              <w:t>Reimaginar juntos nuestros futuros</w:t>
            </w:r>
            <w:r w:rsidRPr="00714EE7">
              <w:rPr>
                <w:rFonts w:ascii="Arial" w:hAnsi="Arial" w:cs="Arial"/>
                <w:color w:val="000000"/>
                <w:sz w:val="20"/>
                <w:szCs w:val="20"/>
              </w:rPr>
              <w:t>, han</w:t>
            </w:r>
            <w:r>
              <w:rPr>
                <w:rFonts w:ascii="Arial" w:hAnsi="Arial" w:cs="Arial"/>
                <w:color w:val="000000"/>
                <w:sz w:val="20"/>
                <w:szCs w:val="20"/>
              </w:rPr>
              <w:t xml:space="preserve"> </w:t>
            </w:r>
            <w:r w:rsidRPr="00714EE7">
              <w:rPr>
                <w:rFonts w:ascii="Arial" w:hAnsi="Arial" w:cs="Arial"/>
                <w:color w:val="000000"/>
                <w:sz w:val="20"/>
                <w:szCs w:val="20"/>
              </w:rPr>
              <w:t>proporcionado la base para este Marco de acción.</w:t>
            </w:r>
          </w:p>
        </w:tc>
        <w:tc>
          <w:tcPr>
            <w:tcW w:w="2126" w:type="dxa"/>
          </w:tcPr>
          <w:p w:rsidR="002211C9" w:rsidRPr="00AA1CB7" w:rsidRDefault="00AA1CB7" w:rsidP="00AC1681">
            <w:pPr>
              <w:autoSpaceDE w:val="0"/>
              <w:autoSpaceDN w:val="0"/>
              <w:adjustRightInd w:val="0"/>
              <w:jc w:val="both"/>
              <w:rPr>
                <w:rFonts w:ascii="Arial" w:hAnsi="Arial" w:cs="Arial"/>
                <w:b/>
                <w:bCs/>
                <w:color w:val="0000CC"/>
                <w:sz w:val="20"/>
                <w:szCs w:val="20"/>
              </w:rPr>
            </w:pPr>
            <w:r w:rsidRPr="00AA1CB7">
              <w:rPr>
                <w:rFonts w:ascii="Arial" w:hAnsi="Arial" w:cs="Arial"/>
                <w:b/>
                <w:bCs/>
                <w:color w:val="0000CC"/>
                <w:sz w:val="20"/>
                <w:szCs w:val="20"/>
              </w:rPr>
              <w:lastRenderedPageBreak/>
              <w:t>PREÁMBULO</w:t>
            </w:r>
          </w:p>
          <w:p w:rsidR="00AA1CB7" w:rsidRDefault="00AA1CB7" w:rsidP="00AC1681">
            <w:pPr>
              <w:autoSpaceDE w:val="0"/>
              <w:autoSpaceDN w:val="0"/>
              <w:adjustRightInd w:val="0"/>
              <w:jc w:val="both"/>
              <w:rPr>
                <w:rFonts w:ascii="Arial" w:hAnsi="Arial" w:cs="Arial"/>
                <w:bCs/>
                <w:color w:val="000000"/>
                <w:sz w:val="20"/>
                <w:szCs w:val="20"/>
              </w:rPr>
            </w:pPr>
            <w:r w:rsidRPr="00AA1CB7">
              <w:rPr>
                <w:rFonts w:ascii="Arial" w:hAnsi="Arial" w:cs="Arial"/>
                <w:bCs/>
                <w:color w:val="000000"/>
                <w:sz w:val="20"/>
                <w:szCs w:val="20"/>
              </w:rPr>
              <w:t>¿Se reflejan en el preámbulo los factores contextuales que afectan actualmente al AEA?</w:t>
            </w:r>
            <w:r w:rsidR="008803F0">
              <w:rPr>
                <w:rFonts w:ascii="Arial" w:hAnsi="Arial" w:cs="Arial"/>
                <w:bCs/>
                <w:color w:val="000000"/>
                <w:sz w:val="20"/>
                <w:szCs w:val="20"/>
              </w:rPr>
              <w:t xml:space="preserve"> Si/No</w:t>
            </w:r>
          </w:p>
          <w:p w:rsidR="00F46BC9" w:rsidRDefault="00F46BC9" w:rsidP="00AC1681">
            <w:pPr>
              <w:autoSpaceDE w:val="0"/>
              <w:autoSpaceDN w:val="0"/>
              <w:adjustRightInd w:val="0"/>
              <w:jc w:val="both"/>
              <w:rPr>
                <w:rFonts w:ascii="Arial" w:hAnsi="Arial" w:cs="Arial"/>
                <w:bCs/>
                <w:color w:val="000000"/>
                <w:sz w:val="20"/>
                <w:szCs w:val="20"/>
              </w:rPr>
            </w:pPr>
          </w:p>
          <w:p w:rsidR="00F46BC9" w:rsidRPr="00AC1681" w:rsidRDefault="00F46BC9" w:rsidP="00AC1681">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Si la respuesta es NO: </w:t>
            </w:r>
            <w:r w:rsidRPr="00F46BC9">
              <w:rPr>
                <w:rFonts w:ascii="Arial" w:hAnsi="Arial" w:cs="Arial"/>
                <w:bCs/>
                <w:color w:val="000000"/>
                <w:sz w:val="20"/>
                <w:szCs w:val="20"/>
              </w:rPr>
              <w:t>¿Qué otro(s) factor(es) contextual(es) debería(n) destacarse en el Preámbulo? ¿Por qué?</w:t>
            </w:r>
          </w:p>
        </w:tc>
        <w:tc>
          <w:tcPr>
            <w:tcW w:w="4532" w:type="dxa"/>
          </w:tcPr>
          <w:p w:rsidR="00AA1CB7" w:rsidRDefault="00AA1CB7" w:rsidP="00AA1CB7">
            <w:pPr>
              <w:autoSpaceDE w:val="0"/>
              <w:autoSpaceDN w:val="0"/>
              <w:adjustRightInd w:val="0"/>
              <w:spacing w:line="276" w:lineRule="auto"/>
              <w:jc w:val="both"/>
              <w:rPr>
                <w:rFonts w:ascii="Arial" w:hAnsi="Arial" w:cs="Arial"/>
                <w:bCs/>
                <w:color w:val="000000"/>
                <w:sz w:val="20"/>
                <w:szCs w:val="20"/>
              </w:rPr>
            </w:pPr>
          </w:p>
          <w:p w:rsidR="00AA1CB7" w:rsidRDefault="00AA1CB7" w:rsidP="00AA1CB7">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Al igual q</w:t>
            </w:r>
            <w:r w:rsidR="00F51CEF">
              <w:rPr>
                <w:rFonts w:ascii="Arial" w:hAnsi="Arial" w:cs="Arial"/>
                <w:bCs/>
                <w:color w:val="000000"/>
                <w:sz w:val="20"/>
                <w:szCs w:val="20"/>
              </w:rPr>
              <w:t>ue en anteriores versiones, el M</w:t>
            </w:r>
            <w:r>
              <w:rPr>
                <w:rFonts w:ascii="Arial" w:hAnsi="Arial" w:cs="Arial"/>
                <w:bCs/>
                <w:color w:val="000000"/>
                <w:sz w:val="20"/>
                <w:szCs w:val="20"/>
              </w:rPr>
              <w:t>a</w:t>
            </w:r>
            <w:r w:rsidR="00F51CEF">
              <w:rPr>
                <w:rFonts w:ascii="Arial" w:hAnsi="Arial" w:cs="Arial"/>
                <w:bCs/>
                <w:color w:val="000000"/>
                <w:sz w:val="20"/>
                <w:szCs w:val="20"/>
              </w:rPr>
              <w:t xml:space="preserve">rco de Acción de la </w:t>
            </w:r>
            <w:r w:rsidR="00F51CEF">
              <w:rPr>
                <w:rFonts w:ascii="Arial" w:hAnsi="Arial" w:cs="Arial"/>
                <w:bCs/>
                <w:color w:val="000000"/>
                <w:sz w:val="20"/>
                <w:szCs w:val="20"/>
              </w:rPr>
              <w:t>CONFINTEA</w:t>
            </w:r>
            <w:r w:rsidR="00F51CEF">
              <w:rPr>
                <w:rFonts w:ascii="Arial" w:hAnsi="Arial" w:cs="Arial"/>
                <w:bCs/>
                <w:color w:val="000000"/>
                <w:sz w:val="20"/>
                <w:szCs w:val="20"/>
              </w:rPr>
              <w:t xml:space="preserve"> VII necesariamente tiene ir acompañado</w:t>
            </w:r>
            <w:r>
              <w:rPr>
                <w:rFonts w:ascii="Arial" w:hAnsi="Arial" w:cs="Arial"/>
                <w:bCs/>
                <w:color w:val="000000"/>
                <w:sz w:val="20"/>
                <w:szCs w:val="20"/>
              </w:rPr>
              <w:t xml:space="preserve"> por un Anexo “Balance Factual”</w:t>
            </w:r>
            <w:r w:rsidR="00F51CEF">
              <w:rPr>
                <w:rFonts w:ascii="Arial" w:hAnsi="Arial" w:cs="Arial"/>
                <w:bCs/>
                <w:color w:val="000000"/>
                <w:sz w:val="20"/>
                <w:szCs w:val="20"/>
              </w:rPr>
              <w:t>,</w:t>
            </w:r>
            <w:r>
              <w:rPr>
                <w:rFonts w:ascii="Arial" w:hAnsi="Arial" w:cs="Arial"/>
                <w:bCs/>
                <w:color w:val="000000"/>
                <w:sz w:val="20"/>
                <w:szCs w:val="20"/>
              </w:rPr>
              <w:t xml:space="preserve"> en el que se deben incluir las principales conclusiones respecto al cumplimiento de lo </w:t>
            </w:r>
            <w:r w:rsidR="00F51CEF">
              <w:rPr>
                <w:rFonts w:ascii="Arial" w:hAnsi="Arial" w:cs="Arial"/>
                <w:bCs/>
                <w:color w:val="000000"/>
                <w:sz w:val="20"/>
                <w:szCs w:val="20"/>
              </w:rPr>
              <w:t>comprometid</w:t>
            </w:r>
            <w:r>
              <w:rPr>
                <w:rFonts w:ascii="Arial" w:hAnsi="Arial" w:cs="Arial"/>
                <w:bCs/>
                <w:color w:val="000000"/>
                <w:sz w:val="20"/>
                <w:szCs w:val="20"/>
              </w:rPr>
              <w:t>o en el Marco de Acción de Belem de la CONFINTEA VI de 2009.</w:t>
            </w:r>
          </w:p>
          <w:p w:rsidR="00F46BC9" w:rsidRDefault="00F46BC9" w:rsidP="00AA1CB7">
            <w:pPr>
              <w:autoSpaceDE w:val="0"/>
              <w:autoSpaceDN w:val="0"/>
              <w:adjustRightInd w:val="0"/>
              <w:spacing w:line="276" w:lineRule="auto"/>
              <w:jc w:val="both"/>
              <w:rPr>
                <w:rFonts w:ascii="Arial" w:hAnsi="Arial" w:cs="Arial"/>
                <w:bCs/>
                <w:color w:val="000000"/>
                <w:sz w:val="20"/>
                <w:szCs w:val="20"/>
              </w:rPr>
            </w:pPr>
          </w:p>
          <w:p w:rsidR="001E1E49" w:rsidRDefault="00AA1CB7" w:rsidP="00AA1CB7">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En el Preámbulo se debe incluir un párrafo que explique los efectos de la Crisis Civilizatoria, la Pandemia (mejor por sus efectos</w:t>
            </w:r>
            <w:r w:rsidR="009C5E99">
              <w:rPr>
                <w:rFonts w:ascii="Arial" w:hAnsi="Arial" w:cs="Arial"/>
                <w:bCs/>
                <w:color w:val="000000"/>
                <w:sz w:val="20"/>
                <w:szCs w:val="20"/>
              </w:rPr>
              <w:t>,</w:t>
            </w:r>
            <w:r>
              <w:rPr>
                <w:rFonts w:ascii="Arial" w:hAnsi="Arial" w:cs="Arial"/>
                <w:bCs/>
                <w:color w:val="000000"/>
                <w:sz w:val="20"/>
                <w:szCs w:val="20"/>
              </w:rPr>
              <w:t xml:space="preserve"> de la Sindemia)</w:t>
            </w:r>
            <w:r w:rsidR="001E1E49">
              <w:rPr>
                <w:rFonts w:ascii="Arial" w:hAnsi="Arial" w:cs="Arial"/>
                <w:bCs/>
                <w:color w:val="000000"/>
                <w:sz w:val="20"/>
                <w:szCs w:val="20"/>
              </w:rPr>
              <w:t>, la IV Revolución Industrial</w:t>
            </w:r>
            <w:r>
              <w:rPr>
                <w:rFonts w:ascii="Arial" w:hAnsi="Arial" w:cs="Arial"/>
                <w:bCs/>
                <w:color w:val="000000"/>
                <w:sz w:val="20"/>
                <w:szCs w:val="20"/>
              </w:rPr>
              <w:t xml:space="preserve"> y de las guerras, principalmente de Rusia – Ucrania. </w:t>
            </w:r>
            <w:r w:rsidR="001E1E49">
              <w:rPr>
                <w:rFonts w:ascii="Arial" w:hAnsi="Arial" w:cs="Arial"/>
                <w:bCs/>
                <w:color w:val="000000"/>
                <w:sz w:val="20"/>
                <w:szCs w:val="20"/>
              </w:rPr>
              <w:t>En este periodo es determinante el análisis de estos hechos para redefinir las proyecciones de la humanidad, por lo tanto de la EPJA.</w:t>
            </w:r>
          </w:p>
          <w:p w:rsidR="001E1E49" w:rsidRDefault="001E1E49" w:rsidP="00AA1CB7">
            <w:pPr>
              <w:autoSpaceDE w:val="0"/>
              <w:autoSpaceDN w:val="0"/>
              <w:adjustRightInd w:val="0"/>
              <w:spacing w:line="276" w:lineRule="auto"/>
              <w:jc w:val="both"/>
              <w:rPr>
                <w:rFonts w:ascii="Arial" w:hAnsi="Arial" w:cs="Arial"/>
                <w:bCs/>
                <w:color w:val="000000"/>
                <w:sz w:val="20"/>
                <w:szCs w:val="20"/>
              </w:rPr>
            </w:pPr>
          </w:p>
          <w:p w:rsidR="001E1E49" w:rsidRDefault="009C5E99" w:rsidP="00AA1CB7">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Un tema de enfoque. No es corresponde</w:t>
            </w:r>
            <w:r w:rsidR="001E1E49">
              <w:rPr>
                <w:rFonts w:ascii="Arial" w:hAnsi="Arial" w:cs="Arial"/>
                <w:bCs/>
                <w:color w:val="000000"/>
                <w:sz w:val="20"/>
                <w:szCs w:val="20"/>
              </w:rPr>
              <w:t xml:space="preserve"> mencionar </w:t>
            </w:r>
            <w:r>
              <w:rPr>
                <w:rFonts w:ascii="Arial" w:hAnsi="Arial" w:cs="Arial"/>
                <w:bCs/>
                <w:color w:val="000000"/>
                <w:sz w:val="20"/>
                <w:szCs w:val="20"/>
              </w:rPr>
              <w:t>sólo</w:t>
            </w:r>
            <w:r>
              <w:rPr>
                <w:rFonts w:ascii="Arial" w:hAnsi="Arial" w:cs="Arial"/>
                <w:bCs/>
                <w:color w:val="000000"/>
                <w:sz w:val="20"/>
                <w:szCs w:val="20"/>
              </w:rPr>
              <w:t xml:space="preserve"> </w:t>
            </w:r>
            <w:r w:rsidR="001E1E49">
              <w:rPr>
                <w:rFonts w:ascii="Arial" w:hAnsi="Arial" w:cs="Arial"/>
                <w:bCs/>
                <w:color w:val="000000"/>
                <w:sz w:val="20"/>
                <w:szCs w:val="20"/>
              </w:rPr>
              <w:t>Aprendizaje y Educación de Adultos (AEA), se obvia a las y lo</w:t>
            </w:r>
            <w:r>
              <w:rPr>
                <w:rFonts w:ascii="Arial" w:hAnsi="Arial" w:cs="Arial"/>
                <w:bCs/>
                <w:color w:val="000000"/>
                <w:sz w:val="20"/>
                <w:szCs w:val="20"/>
              </w:rPr>
              <w:t>s jóvenes, además se escribe en</w:t>
            </w:r>
            <w:r w:rsidR="001E1E49">
              <w:rPr>
                <w:rFonts w:ascii="Arial" w:hAnsi="Arial" w:cs="Arial"/>
                <w:bCs/>
                <w:color w:val="000000"/>
                <w:sz w:val="20"/>
                <w:szCs w:val="20"/>
              </w:rPr>
              <w:t xml:space="preserve"> un lenguaje </w:t>
            </w:r>
            <w:r>
              <w:rPr>
                <w:rFonts w:ascii="Arial" w:hAnsi="Arial" w:cs="Arial"/>
                <w:bCs/>
                <w:color w:val="000000"/>
                <w:sz w:val="20"/>
                <w:szCs w:val="20"/>
              </w:rPr>
              <w:t>no</w:t>
            </w:r>
            <w:r w:rsidR="001E1E49">
              <w:rPr>
                <w:rFonts w:ascii="Arial" w:hAnsi="Arial" w:cs="Arial"/>
                <w:bCs/>
                <w:color w:val="000000"/>
                <w:sz w:val="20"/>
                <w:szCs w:val="20"/>
              </w:rPr>
              <w:t xml:space="preserve"> inclusivo, por lo que en lugar de AEA, en esta parte y el resto del documento</w:t>
            </w:r>
            <w:r>
              <w:rPr>
                <w:rFonts w:ascii="Arial" w:hAnsi="Arial" w:cs="Arial"/>
                <w:bCs/>
                <w:color w:val="000000"/>
                <w:sz w:val="20"/>
                <w:szCs w:val="20"/>
              </w:rPr>
              <w:t>,</w:t>
            </w:r>
            <w:r w:rsidR="001E1E49">
              <w:rPr>
                <w:rFonts w:ascii="Arial" w:hAnsi="Arial" w:cs="Arial"/>
                <w:bCs/>
                <w:color w:val="000000"/>
                <w:sz w:val="20"/>
                <w:szCs w:val="20"/>
              </w:rPr>
              <w:t xml:space="preserve"> se debe hacer referencia a Educación de Personas Jóvenes y Adultas (EPJA)</w:t>
            </w:r>
          </w:p>
          <w:p w:rsidR="001E1E49" w:rsidRDefault="001E1E49" w:rsidP="00AA1CB7">
            <w:pPr>
              <w:autoSpaceDE w:val="0"/>
              <w:autoSpaceDN w:val="0"/>
              <w:adjustRightInd w:val="0"/>
              <w:spacing w:line="276" w:lineRule="auto"/>
              <w:jc w:val="both"/>
              <w:rPr>
                <w:rFonts w:ascii="Arial" w:hAnsi="Arial" w:cs="Arial"/>
                <w:bCs/>
                <w:color w:val="000000"/>
                <w:sz w:val="20"/>
                <w:szCs w:val="20"/>
              </w:rPr>
            </w:pPr>
          </w:p>
          <w:p w:rsidR="00AA1CB7" w:rsidRPr="00AA1CB7" w:rsidRDefault="00AA1CB7" w:rsidP="00AA1CB7">
            <w:pPr>
              <w:autoSpaceDE w:val="0"/>
              <w:autoSpaceDN w:val="0"/>
              <w:adjustRightInd w:val="0"/>
              <w:spacing w:line="276" w:lineRule="auto"/>
              <w:jc w:val="both"/>
              <w:rPr>
                <w:rFonts w:ascii="Arial" w:hAnsi="Arial" w:cs="Arial"/>
                <w:bCs/>
                <w:color w:val="000000"/>
                <w:sz w:val="20"/>
                <w:szCs w:val="20"/>
              </w:rPr>
            </w:pPr>
            <w:r w:rsidRPr="00AA1CB7">
              <w:rPr>
                <w:rFonts w:ascii="Arial" w:hAnsi="Arial" w:cs="Arial"/>
                <w:bCs/>
                <w:color w:val="000000"/>
                <w:sz w:val="20"/>
                <w:szCs w:val="20"/>
              </w:rPr>
              <w:t xml:space="preserve">4) No es correcto que "Con el apoyo de los </w:t>
            </w:r>
            <w:r w:rsidRPr="00AA1CB7">
              <w:rPr>
                <w:rFonts w:ascii="Arial" w:hAnsi="Arial" w:cs="Arial"/>
                <w:bCs/>
                <w:color w:val="000000"/>
                <w:sz w:val="20"/>
                <w:szCs w:val="20"/>
              </w:rPr>
              <w:lastRenderedPageBreak/>
              <w:t>datos del GRALE, reflexionamos sobre los principales esfuerzos mundiales en la promoción del aprendizaje permanente desde 2009 y su impacto en el AEA" - de hecho, el GRALE proporciona una imagen clara y completa del estado del aprendizaje y la educación de adultos (AEA), por lo que el AEA está en el punto de mira y no el aprendizaje permanente, que es el marco.</w:t>
            </w:r>
          </w:p>
          <w:p w:rsidR="001E1E49" w:rsidRPr="00AA1CB7" w:rsidRDefault="001E1E49" w:rsidP="00AA1CB7">
            <w:pPr>
              <w:autoSpaceDE w:val="0"/>
              <w:autoSpaceDN w:val="0"/>
              <w:adjustRightInd w:val="0"/>
              <w:spacing w:line="276" w:lineRule="auto"/>
              <w:jc w:val="both"/>
              <w:rPr>
                <w:rFonts w:ascii="Arial" w:hAnsi="Arial" w:cs="Arial"/>
                <w:bCs/>
                <w:color w:val="000000"/>
                <w:sz w:val="20"/>
                <w:szCs w:val="20"/>
              </w:rPr>
            </w:pPr>
          </w:p>
          <w:p w:rsidR="00AA1CB7" w:rsidRPr="00AA1CB7" w:rsidRDefault="00AA1CB7" w:rsidP="00AA1CB7">
            <w:pPr>
              <w:autoSpaceDE w:val="0"/>
              <w:autoSpaceDN w:val="0"/>
              <w:adjustRightInd w:val="0"/>
              <w:spacing w:line="276" w:lineRule="auto"/>
              <w:jc w:val="both"/>
              <w:rPr>
                <w:rFonts w:ascii="Arial" w:hAnsi="Arial" w:cs="Arial"/>
                <w:bCs/>
                <w:color w:val="000000"/>
                <w:sz w:val="20"/>
                <w:szCs w:val="20"/>
              </w:rPr>
            </w:pPr>
            <w:r w:rsidRPr="00AA1CB7">
              <w:rPr>
                <w:rFonts w:ascii="Arial" w:hAnsi="Arial" w:cs="Arial"/>
                <w:bCs/>
                <w:color w:val="000000"/>
                <w:sz w:val="20"/>
                <w:szCs w:val="20"/>
              </w:rPr>
              <w:t>(5) Una declaración de contexto es incompleta, ya que no puede ser sólo COVID-19 lo que se identifica explícitamente. Es necesario incluir el conjunto de cuestiones clave, como el aumento de las desigualdades sistémicas, la pobreza extrema, el cambio climático, el rápido cambio tecnológico, las guerras, los conflictos, el aumento del nacionalismo, la discriminación estructural, y cómo el AEA da forma al contexto y el contexto da forma a la pertinencia del AEA.</w:t>
            </w:r>
          </w:p>
          <w:p w:rsidR="001E1E49" w:rsidRPr="00AA1CB7" w:rsidRDefault="001E1E49" w:rsidP="00AA1CB7">
            <w:pPr>
              <w:autoSpaceDE w:val="0"/>
              <w:autoSpaceDN w:val="0"/>
              <w:adjustRightInd w:val="0"/>
              <w:spacing w:line="276" w:lineRule="auto"/>
              <w:jc w:val="both"/>
              <w:rPr>
                <w:rFonts w:ascii="Arial" w:hAnsi="Arial" w:cs="Arial"/>
                <w:bCs/>
                <w:color w:val="000000"/>
                <w:sz w:val="20"/>
                <w:szCs w:val="20"/>
              </w:rPr>
            </w:pPr>
          </w:p>
          <w:p w:rsidR="00AA1CB7" w:rsidRPr="00AA1CB7" w:rsidRDefault="00AA1CB7" w:rsidP="00AA1CB7">
            <w:pPr>
              <w:autoSpaceDE w:val="0"/>
              <w:autoSpaceDN w:val="0"/>
              <w:adjustRightInd w:val="0"/>
              <w:spacing w:line="276" w:lineRule="auto"/>
              <w:jc w:val="both"/>
              <w:rPr>
                <w:rFonts w:ascii="Arial" w:hAnsi="Arial" w:cs="Arial"/>
                <w:bCs/>
                <w:color w:val="000000"/>
                <w:sz w:val="20"/>
                <w:szCs w:val="20"/>
              </w:rPr>
            </w:pPr>
          </w:p>
          <w:p w:rsidR="00AA1CB7" w:rsidRPr="00AA1CB7" w:rsidRDefault="00AA1CB7" w:rsidP="00AA1CB7">
            <w:pPr>
              <w:autoSpaceDE w:val="0"/>
              <w:autoSpaceDN w:val="0"/>
              <w:adjustRightInd w:val="0"/>
              <w:spacing w:line="276" w:lineRule="auto"/>
              <w:jc w:val="both"/>
              <w:rPr>
                <w:rFonts w:ascii="Arial" w:hAnsi="Arial" w:cs="Arial"/>
                <w:bCs/>
                <w:color w:val="000000"/>
                <w:sz w:val="20"/>
                <w:szCs w:val="20"/>
              </w:rPr>
            </w:pPr>
            <w:r w:rsidRPr="00AA1CB7">
              <w:rPr>
                <w:rFonts w:ascii="Arial" w:hAnsi="Arial" w:cs="Arial"/>
                <w:bCs/>
                <w:color w:val="000000"/>
                <w:sz w:val="20"/>
                <w:szCs w:val="20"/>
              </w:rPr>
              <w:t>6) La declaración de Berlín podría mencionarse sólo en relación con la EDS como área prioritaria, ya que no es un documento global sobre el AEA.</w:t>
            </w: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Pr="00AA1CB7" w:rsidRDefault="00AA1CB7" w:rsidP="00AA1CB7">
            <w:pPr>
              <w:autoSpaceDE w:val="0"/>
              <w:autoSpaceDN w:val="0"/>
              <w:adjustRightInd w:val="0"/>
              <w:jc w:val="both"/>
              <w:rPr>
                <w:rFonts w:ascii="Arial" w:hAnsi="Arial" w:cs="Arial"/>
                <w:bCs/>
                <w:color w:val="000000"/>
                <w:sz w:val="20"/>
                <w:szCs w:val="20"/>
              </w:rPr>
            </w:pPr>
          </w:p>
          <w:p w:rsidR="00AA1CB7" w:rsidRDefault="00AA1CB7"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F46BC9" w:rsidRDefault="00F46BC9" w:rsidP="00AA1CB7">
            <w:pPr>
              <w:autoSpaceDE w:val="0"/>
              <w:autoSpaceDN w:val="0"/>
              <w:adjustRightInd w:val="0"/>
              <w:jc w:val="both"/>
              <w:rPr>
                <w:rFonts w:ascii="Arial" w:hAnsi="Arial" w:cs="Arial"/>
                <w:bCs/>
                <w:color w:val="000000"/>
                <w:sz w:val="20"/>
                <w:szCs w:val="20"/>
              </w:rPr>
            </w:pPr>
          </w:p>
          <w:p w:rsidR="009D6CAA" w:rsidRDefault="009D6CAA" w:rsidP="009D6CAA">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(7) - ¿Q</w:t>
            </w:r>
            <w:r w:rsidRPr="009D6CAA">
              <w:rPr>
                <w:rFonts w:ascii="Arial" w:hAnsi="Arial" w:cs="Arial"/>
                <w:bCs/>
                <w:color w:val="000000"/>
                <w:sz w:val="20"/>
                <w:szCs w:val="20"/>
              </w:rPr>
              <w:t>ué se entiende por “educación liberal”?  Desde la mirada política y económica se puede entender de una manera y desde la educación desde otra. ¿Será que se refiere a una educación liberadora?</w:t>
            </w:r>
            <w:r w:rsidRPr="00AA1CB7">
              <w:rPr>
                <w:rFonts w:ascii="Arial" w:hAnsi="Arial" w:cs="Arial"/>
                <w:bCs/>
                <w:color w:val="000000"/>
                <w:sz w:val="20"/>
                <w:szCs w:val="20"/>
              </w:rPr>
              <w:t xml:space="preserve"> </w:t>
            </w:r>
            <w:r>
              <w:rPr>
                <w:rFonts w:ascii="Arial" w:hAnsi="Arial" w:cs="Arial"/>
                <w:bCs/>
                <w:color w:val="000000"/>
                <w:sz w:val="20"/>
                <w:szCs w:val="20"/>
              </w:rPr>
              <w:t>Para evitar equivocadas percepciones se sugiere eliminar esta referencia de “liberal”.</w:t>
            </w:r>
          </w:p>
          <w:p w:rsidR="009D6CAA" w:rsidRDefault="00AA1CB7" w:rsidP="009D6CAA">
            <w:pPr>
              <w:autoSpaceDE w:val="0"/>
              <w:autoSpaceDN w:val="0"/>
              <w:adjustRightInd w:val="0"/>
              <w:jc w:val="both"/>
              <w:rPr>
                <w:rFonts w:ascii="Arial" w:hAnsi="Arial" w:cs="Arial"/>
                <w:bCs/>
                <w:color w:val="000000"/>
                <w:sz w:val="20"/>
                <w:szCs w:val="20"/>
              </w:rPr>
            </w:pPr>
            <w:r w:rsidRPr="00AA1CB7">
              <w:rPr>
                <w:rFonts w:ascii="Arial" w:hAnsi="Arial" w:cs="Arial"/>
                <w:bCs/>
                <w:color w:val="000000"/>
                <w:sz w:val="20"/>
                <w:szCs w:val="20"/>
              </w:rPr>
              <w:t>(7) y (8) - Las definiciones de los principales conceptos de los que trata la conferencia, el AEA y el AP, pertenecen al documento, no a la nota a pie de página.</w:t>
            </w:r>
          </w:p>
          <w:p w:rsidR="002211C9" w:rsidRPr="00AC1681" w:rsidRDefault="002211C9" w:rsidP="009D6CAA">
            <w:pPr>
              <w:autoSpaceDE w:val="0"/>
              <w:autoSpaceDN w:val="0"/>
              <w:adjustRightInd w:val="0"/>
              <w:jc w:val="both"/>
              <w:rPr>
                <w:rFonts w:ascii="Arial" w:hAnsi="Arial" w:cs="Arial"/>
                <w:bCs/>
                <w:color w:val="000000"/>
                <w:sz w:val="20"/>
                <w:szCs w:val="20"/>
              </w:rPr>
            </w:pPr>
          </w:p>
        </w:tc>
      </w:tr>
    </w:tbl>
    <w:p w:rsidR="002211C9" w:rsidRDefault="002211C9" w:rsidP="00F46BC9">
      <w:pPr>
        <w:autoSpaceDE w:val="0"/>
        <w:autoSpaceDN w:val="0"/>
        <w:adjustRightInd w:val="0"/>
        <w:spacing w:after="0"/>
        <w:jc w:val="both"/>
        <w:rPr>
          <w:rFonts w:ascii="Arial" w:hAnsi="Arial" w:cs="Arial"/>
          <w:b/>
          <w:bCs/>
          <w:color w:val="00000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3B666B" w:rsidRDefault="003B666B" w:rsidP="00F46BC9">
      <w:pPr>
        <w:autoSpaceDE w:val="0"/>
        <w:autoSpaceDN w:val="0"/>
        <w:adjustRightInd w:val="0"/>
        <w:spacing w:after="0"/>
        <w:jc w:val="both"/>
        <w:rPr>
          <w:rFonts w:ascii="Arial" w:hAnsi="Arial" w:cs="Arial"/>
          <w:b/>
          <w:bCs/>
          <w:color w:val="0000CC"/>
          <w:sz w:val="20"/>
          <w:szCs w:val="20"/>
        </w:rPr>
      </w:pPr>
    </w:p>
    <w:p w:rsidR="00F46BC9" w:rsidRPr="008803F0" w:rsidRDefault="00F46BC9" w:rsidP="00F46BC9">
      <w:pPr>
        <w:autoSpaceDE w:val="0"/>
        <w:autoSpaceDN w:val="0"/>
        <w:adjustRightInd w:val="0"/>
        <w:spacing w:after="0"/>
        <w:jc w:val="both"/>
        <w:rPr>
          <w:rFonts w:ascii="Arial" w:hAnsi="Arial" w:cs="Arial"/>
          <w:b/>
          <w:bCs/>
          <w:color w:val="0000CC"/>
          <w:sz w:val="20"/>
          <w:szCs w:val="20"/>
        </w:rPr>
      </w:pPr>
      <w:r w:rsidRPr="008803F0">
        <w:rPr>
          <w:rFonts w:ascii="Arial" w:hAnsi="Arial" w:cs="Arial"/>
          <w:b/>
          <w:bCs/>
          <w:color w:val="0000CC"/>
          <w:sz w:val="20"/>
          <w:szCs w:val="20"/>
        </w:rPr>
        <w:lastRenderedPageBreak/>
        <w:t>SECCIÓN II: PRINCIPIOS Y ÁREAS</w:t>
      </w:r>
      <w:r w:rsidR="008803F0">
        <w:rPr>
          <w:rFonts w:ascii="Arial" w:hAnsi="Arial" w:cs="Arial"/>
          <w:b/>
          <w:bCs/>
          <w:color w:val="0000CC"/>
          <w:sz w:val="20"/>
          <w:szCs w:val="20"/>
        </w:rPr>
        <w:t xml:space="preserve"> PRIORITARIAS</w:t>
      </w:r>
      <w:r w:rsidRPr="008803F0">
        <w:rPr>
          <w:rFonts w:ascii="Arial" w:hAnsi="Arial" w:cs="Arial"/>
          <w:b/>
          <w:bCs/>
          <w:color w:val="0000CC"/>
          <w:sz w:val="20"/>
          <w:szCs w:val="20"/>
        </w:rPr>
        <w:t xml:space="preserve"> </w:t>
      </w:r>
    </w:p>
    <w:tbl>
      <w:tblPr>
        <w:tblStyle w:val="Tablaconcuadrcula"/>
        <w:tblW w:w="0" w:type="auto"/>
        <w:tblLook w:val="04A0" w:firstRow="1" w:lastRow="0" w:firstColumn="1" w:lastColumn="0" w:noHBand="0" w:noVBand="1"/>
      </w:tblPr>
      <w:tblGrid>
        <w:gridCol w:w="7054"/>
        <w:gridCol w:w="2126"/>
        <w:gridCol w:w="4532"/>
      </w:tblGrid>
      <w:tr w:rsidR="008803F0" w:rsidRPr="001E1E49" w:rsidTr="00DD69B0">
        <w:tc>
          <w:tcPr>
            <w:tcW w:w="7054" w:type="dxa"/>
            <w:shd w:val="clear" w:color="auto" w:fill="DBE5F1" w:themeFill="accent1" w:themeFillTint="33"/>
            <w:vAlign w:val="center"/>
          </w:tcPr>
          <w:p w:rsidR="008803F0" w:rsidRPr="001E1E49" w:rsidRDefault="008803F0" w:rsidP="00DD69B0">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126" w:type="dxa"/>
            <w:shd w:val="clear" w:color="auto" w:fill="DBE5F1" w:themeFill="accent1" w:themeFillTint="33"/>
            <w:vAlign w:val="center"/>
          </w:tcPr>
          <w:p w:rsidR="008803F0" w:rsidRPr="001E1E49" w:rsidRDefault="008803F0" w:rsidP="00DD69B0">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3" w:tgtFrame="_blank" w:history="1">
              <w:r w:rsidRPr="001E1E49">
                <w:rPr>
                  <w:rFonts w:ascii="Arial" w:hAnsi="Arial" w:cs="Arial"/>
                  <w:b/>
                  <w:bCs/>
                  <w:color w:val="0000CC"/>
                  <w:sz w:val="20"/>
                  <w:szCs w:val="20"/>
                </w:rPr>
                <w:t>Consulta Pública en línea sobre el anteproyecto del Marco de Acción de Marrakech</w:t>
              </w:r>
            </w:hyperlink>
          </w:p>
        </w:tc>
        <w:tc>
          <w:tcPr>
            <w:tcW w:w="4532" w:type="dxa"/>
            <w:shd w:val="clear" w:color="auto" w:fill="DBE5F1" w:themeFill="accent1" w:themeFillTint="33"/>
            <w:vAlign w:val="center"/>
          </w:tcPr>
          <w:p w:rsidR="008803F0" w:rsidRPr="001E1E49" w:rsidRDefault="008803F0" w:rsidP="00DD69B0">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Propuesta de posibles respuestas</w:t>
            </w:r>
          </w:p>
          <w:p w:rsidR="008803F0" w:rsidRPr="001E1E49" w:rsidRDefault="008803F0" w:rsidP="00DD69B0">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8803F0" w:rsidRPr="001E1E49" w:rsidRDefault="008803F0" w:rsidP="00DD69B0">
            <w:pPr>
              <w:autoSpaceDE w:val="0"/>
              <w:autoSpaceDN w:val="0"/>
              <w:adjustRightInd w:val="0"/>
              <w:jc w:val="center"/>
              <w:rPr>
                <w:rFonts w:ascii="Arial" w:hAnsi="Arial" w:cs="Arial"/>
                <w:b/>
                <w:bCs/>
                <w:color w:val="0000CC"/>
                <w:sz w:val="20"/>
                <w:szCs w:val="20"/>
              </w:rPr>
            </w:pPr>
          </w:p>
        </w:tc>
      </w:tr>
      <w:tr w:rsidR="008803F0" w:rsidTr="00DD69B0">
        <w:tc>
          <w:tcPr>
            <w:tcW w:w="7054" w:type="dxa"/>
          </w:tcPr>
          <w:p w:rsidR="008803F0" w:rsidRPr="008803F0" w:rsidRDefault="008803F0" w:rsidP="008803F0">
            <w:pPr>
              <w:autoSpaceDE w:val="0"/>
              <w:autoSpaceDN w:val="0"/>
              <w:adjustRightInd w:val="0"/>
              <w:spacing w:line="276" w:lineRule="auto"/>
              <w:jc w:val="both"/>
              <w:rPr>
                <w:rFonts w:ascii="Arial" w:hAnsi="Arial" w:cs="Arial"/>
                <w:b/>
                <w:bCs/>
                <w:color w:val="0000CC"/>
                <w:szCs w:val="20"/>
              </w:rPr>
            </w:pPr>
            <w:r w:rsidRPr="008803F0">
              <w:rPr>
                <w:rFonts w:ascii="Arial" w:hAnsi="Arial" w:cs="Arial"/>
                <w:b/>
                <w:bCs/>
                <w:color w:val="0000CC"/>
                <w:szCs w:val="20"/>
              </w:rPr>
              <w:t>PRINCIPIOS Y ÁREAS PRIORITARIAS</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Si bien reconocemos que las áreas prioritarias del Marco de acción de Belém siguen siendo</w:t>
            </w:r>
            <w:r>
              <w:rPr>
                <w:rFonts w:ascii="Arial" w:hAnsi="Arial" w:cs="Arial"/>
                <w:color w:val="000000"/>
                <w:sz w:val="20"/>
                <w:szCs w:val="20"/>
              </w:rPr>
              <w:t xml:space="preserve"> </w:t>
            </w:r>
            <w:r w:rsidRPr="00714EE7">
              <w:rPr>
                <w:rFonts w:ascii="Arial" w:hAnsi="Arial" w:cs="Arial"/>
                <w:color w:val="000000"/>
                <w:sz w:val="20"/>
                <w:szCs w:val="20"/>
              </w:rPr>
              <w:t>relevantes, tenemos una oportunidad única para reflexionar sobre los nuevos desafíos y las</w:t>
            </w:r>
            <w:r>
              <w:rPr>
                <w:rFonts w:ascii="Arial" w:hAnsi="Arial" w:cs="Arial"/>
                <w:color w:val="000000"/>
                <w:sz w:val="20"/>
                <w:szCs w:val="20"/>
              </w:rPr>
              <w:t xml:space="preserve"> </w:t>
            </w:r>
            <w:r w:rsidRPr="00714EE7">
              <w:rPr>
                <w:rFonts w:ascii="Arial" w:hAnsi="Arial" w:cs="Arial"/>
                <w:color w:val="000000"/>
                <w:sz w:val="20"/>
                <w:szCs w:val="20"/>
              </w:rPr>
              <w:t>nuevas oportunidades para promover el AEA dentro de una perspectiva de aprendizaje a lo</w:t>
            </w:r>
            <w:r>
              <w:rPr>
                <w:rFonts w:ascii="Arial" w:hAnsi="Arial" w:cs="Arial"/>
                <w:color w:val="000000"/>
                <w:sz w:val="20"/>
                <w:szCs w:val="20"/>
              </w:rPr>
              <w:t xml:space="preserve"> </w:t>
            </w:r>
            <w:r w:rsidRPr="00714EE7">
              <w:rPr>
                <w:rFonts w:ascii="Arial" w:hAnsi="Arial" w:cs="Arial"/>
                <w:color w:val="000000"/>
                <w:sz w:val="20"/>
                <w:szCs w:val="20"/>
              </w:rPr>
              <w:t>largo de toda la vida, con el fin de lograr el desarrollo sostenible y cumplir la promesa de paz</w:t>
            </w:r>
            <w:r>
              <w:rPr>
                <w:rFonts w:ascii="Arial" w:hAnsi="Arial" w:cs="Arial"/>
                <w:color w:val="000000"/>
                <w:sz w:val="20"/>
                <w:szCs w:val="20"/>
              </w:rPr>
              <w:t xml:space="preserve"> </w:t>
            </w:r>
            <w:r w:rsidRPr="00714EE7">
              <w:rPr>
                <w:rFonts w:ascii="Arial" w:hAnsi="Arial" w:cs="Arial"/>
                <w:color w:val="000000"/>
                <w:sz w:val="20"/>
                <w:szCs w:val="20"/>
              </w:rPr>
              <w:t>que figura en el Acta constitutiva de la UNESCO.</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714EE7">
              <w:rPr>
                <w:rFonts w:ascii="Arial" w:hAnsi="Arial" w:cs="Arial"/>
                <w:color w:val="000000"/>
                <w:sz w:val="20"/>
                <w:szCs w:val="20"/>
              </w:rPr>
              <w:t>Construir un nuevo contrato social: Inspirados por las conclusiones y propuestas de</w:t>
            </w:r>
            <w:r>
              <w:rPr>
                <w:rFonts w:ascii="Arial" w:hAnsi="Arial" w:cs="Arial"/>
                <w:color w:val="000000"/>
                <w:sz w:val="20"/>
                <w:szCs w:val="20"/>
              </w:rPr>
              <w:t xml:space="preserve"> </w:t>
            </w:r>
            <w:r w:rsidRPr="00714EE7">
              <w:rPr>
                <w:rFonts w:ascii="Arial" w:hAnsi="Arial" w:cs="Arial"/>
                <w:i/>
                <w:iCs/>
                <w:color w:val="000000"/>
                <w:sz w:val="20"/>
                <w:szCs w:val="20"/>
              </w:rPr>
              <w:t>Reimaginar juntos nuestros futuros</w:t>
            </w:r>
            <w:r w:rsidRPr="00714EE7">
              <w:rPr>
                <w:rFonts w:ascii="Arial" w:hAnsi="Arial" w:cs="Arial"/>
                <w:color w:val="000000"/>
                <w:sz w:val="20"/>
                <w:szCs w:val="20"/>
              </w:rPr>
              <w:t xml:space="preserve">, reconocemos el </w:t>
            </w:r>
            <w:r w:rsidRPr="00714EE7">
              <w:rPr>
                <w:rFonts w:ascii="Arial" w:hAnsi="Arial" w:cs="Arial"/>
                <w:b/>
                <w:bCs/>
                <w:color w:val="000000"/>
                <w:sz w:val="20"/>
                <w:szCs w:val="20"/>
              </w:rPr>
              <w:t>papel clave del AEA en la creación de</w:t>
            </w:r>
            <w:r>
              <w:rPr>
                <w:rFonts w:ascii="Arial" w:hAnsi="Arial" w:cs="Arial"/>
                <w:b/>
                <w:bCs/>
                <w:color w:val="000000"/>
                <w:sz w:val="20"/>
                <w:szCs w:val="20"/>
              </w:rPr>
              <w:t xml:space="preserve"> </w:t>
            </w:r>
            <w:r w:rsidRPr="00714EE7">
              <w:rPr>
                <w:rFonts w:ascii="Arial" w:hAnsi="Arial" w:cs="Arial"/>
                <w:b/>
                <w:bCs/>
                <w:color w:val="000000"/>
                <w:sz w:val="20"/>
                <w:szCs w:val="20"/>
              </w:rPr>
              <w:t xml:space="preserve">respuestas humanistas </w:t>
            </w:r>
            <w:r w:rsidRPr="00714EE7">
              <w:rPr>
                <w:rFonts w:ascii="Arial" w:hAnsi="Arial" w:cs="Arial"/>
                <w:color w:val="000000"/>
                <w:sz w:val="20"/>
                <w:szCs w:val="20"/>
              </w:rPr>
              <w:t>basadas en los derechos humanos, los principios éticos, la</w:t>
            </w:r>
            <w:r>
              <w:rPr>
                <w:rFonts w:ascii="Arial" w:hAnsi="Arial" w:cs="Arial"/>
                <w:color w:val="000000"/>
                <w:sz w:val="20"/>
                <w:szCs w:val="20"/>
              </w:rPr>
              <w:t xml:space="preserve"> </w:t>
            </w:r>
            <w:r w:rsidRPr="00714EE7">
              <w:rPr>
                <w:rFonts w:ascii="Arial" w:hAnsi="Arial" w:cs="Arial"/>
                <w:color w:val="000000"/>
                <w:sz w:val="20"/>
                <w:szCs w:val="20"/>
              </w:rPr>
              <w:t>movilización de la inteligencia colectiva y un diálogo abierto informado por los conocimientos</w:t>
            </w:r>
            <w:r>
              <w:rPr>
                <w:rFonts w:ascii="Arial" w:hAnsi="Arial" w:cs="Arial"/>
                <w:color w:val="000000"/>
                <w:sz w:val="20"/>
                <w:szCs w:val="20"/>
              </w:rPr>
              <w:t xml:space="preserve"> </w:t>
            </w:r>
            <w:r w:rsidRPr="00714EE7">
              <w:rPr>
                <w:rFonts w:ascii="Arial" w:hAnsi="Arial" w:cs="Arial"/>
                <w:color w:val="000000"/>
                <w:sz w:val="20"/>
                <w:szCs w:val="20"/>
              </w:rPr>
              <w:t>interdisciplinarios. En un momento en que las sociedades se ven amenazadas por el aumento</w:t>
            </w:r>
            <w:r>
              <w:rPr>
                <w:rFonts w:ascii="Arial" w:hAnsi="Arial" w:cs="Arial"/>
                <w:color w:val="000000"/>
                <w:sz w:val="20"/>
                <w:szCs w:val="20"/>
              </w:rPr>
              <w:t xml:space="preserve"> </w:t>
            </w:r>
            <w:r w:rsidRPr="00CB7FEF">
              <w:rPr>
                <w:rFonts w:ascii="Arial" w:hAnsi="Arial" w:cs="Arial"/>
                <w:color w:val="000000"/>
                <w:sz w:val="20"/>
                <w:szCs w:val="20"/>
              </w:rPr>
              <w:t>del fanatismo y el extremismo violento, la creciente desconfianza en la ciencia y el aumento</w:t>
            </w:r>
            <w:r>
              <w:rPr>
                <w:rFonts w:ascii="Arial" w:hAnsi="Arial" w:cs="Arial"/>
                <w:color w:val="000000"/>
                <w:sz w:val="20"/>
                <w:szCs w:val="20"/>
              </w:rPr>
              <w:t xml:space="preserve"> </w:t>
            </w:r>
            <w:r w:rsidRPr="00CB7FEF">
              <w:rPr>
                <w:rFonts w:ascii="Arial" w:hAnsi="Arial" w:cs="Arial"/>
                <w:color w:val="000000"/>
                <w:sz w:val="20"/>
                <w:szCs w:val="20"/>
              </w:rPr>
              <w:t>de las desigualdades dentro de los países y entre ellos, el AEA puede constituir una poderosa</w:t>
            </w:r>
            <w:r>
              <w:rPr>
                <w:rFonts w:ascii="Arial" w:hAnsi="Arial" w:cs="Arial"/>
                <w:color w:val="000000"/>
                <w:sz w:val="20"/>
                <w:szCs w:val="20"/>
              </w:rPr>
              <w:t xml:space="preserve"> </w:t>
            </w:r>
            <w:r w:rsidRPr="00CB7FEF">
              <w:rPr>
                <w:rFonts w:ascii="Arial" w:hAnsi="Arial" w:cs="Arial"/>
                <w:color w:val="000000"/>
                <w:sz w:val="20"/>
                <w:szCs w:val="20"/>
              </w:rPr>
              <w:t>respuesta política para consolidar la cohesión social, asegurar la paz, mejorar el</w:t>
            </w:r>
            <w:r>
              <w:rPr>
                <w:rFonts w:ascii="Arial" w:hAnsi="Arial" w:cs="Arial"/>
                <w:color w:val="000000"/>
                <w:sz w:val="20"/>
                <w:szCs w:val="20"/>
              </w:rPr>
              <w:t xml:space="preserve"> </w:t>
            </w:r>
            <w:r w:rsidRPr="00CB7FEF">
              <w:rPr>
                <w:rFonts w:ascii="Arial" w:hAnsi="Arial" w:cs="Arial"/>
                <w:color w:val="000000"/>
                <w:sz w:val="20"/>
                <w:szCs w:val="20"/>
              </w:rPr>
              <w:t>entendimiento entre las culturas, eliminar todo tipo de discriminación y promover la</w:t>
            </w:r>
            <w:r>
              <w:rPr>
                <w:rFonts w:ascii="Arial" w:hAnsi="Arial" w:cs="Arial"/>
                <w:color w:val="000000"/>
                <w:sz w:val="20"/>
                <w:szCs w:val="20"/>
              </w:rPr>
              <w:t xml:space="preserve"> </w:t>
            </w:r>
            <w:r w:rsidRPr="00CB7FEF">
              <w:rPr>
                <w:rFonts w:ascii="Arial" w:hAnsi="Arial" w:cs="Arial"/>
                <w:color w:val="000000"/>
                <w:sz w:val="20"/>
                <w:szCs w:val="20"/>
              </w:rPr>
              <w:t>convivencia pacífica y la ciudadanía activa y mundial.</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b/>
                <w:bCs/>
                <w:color w:val="000000"/>
                <w:sz w:val="20"/>
                <w:szCs w:val="20"/>
              </w:rPr>
              <w:t xml:space="preserve">Reconocer la alfabetización como </w:t>
            </w:r>
            <w:r w:rsidRPr="00CB7FEF">
              <w:rPr>
                <w:rFonts w:ascii="Arial" w:hAnsi="Arial" w:cs="Arial"/>
                <w:color w:val="000000"/>
                <w:sz w:val="20"/>
                <w:szCs w:val="20"/>
              </w:rPr>
              <w:t>fundamento del aprendizaje a lo largo de toda la vida: A</w:t>
            </w:r>
            <w:r>
              <w:rPr>
                <w:rFonts w:ascii="Arial" w:hAnsi="Arial" w:cs="Arial"/>
                <w:color w:val="000000"/>
                <w:sz w:val="20"/>
                <w:szCs w:val="20"/>
              </w:rPr>
              <w:t xml:space="preserve"> </w:t>
            </w:r>
            <w:r w:rsidRPr="00CB7FEF">
              <w:rPr>
                <w:rFonts w:ascii="Arial" w:hAnsi="Arial" w:cs="Arial"/>
                <w:color w:val="000000"/>
                <w:sz w:val="20"/>
                <w:szCs w:val="20"/>
              </w:rPr>
              <w:t>pesar de los notables progresos realizados en las últimas décadas, incluido la alfabetización</w:t>
            </w:r>
            <w:r>
              <w:rPr>
                <w:rFonts w:ascii="Arial" w:hAnsi="Arial" w:cs="Arial"/>
                <w:color w:val="000000"/>
                <w:sz w:val="20"/>
                <w:szCs w:val="20"/>
              </w:rPr>
              <w:t xml:space="preserve"> </w:t>
            </w:r>
            <w:r w:rsidRPr="00CB7FEF">
              <w:rPr>
                <w:rFonts w:ascii="Arial" w:hAnsi="Arial" w:cs="Arial"/>
                <w:color w:val="000000"/>
                <w:sz w:val="20"/>
                <w:szCs w:val="20"/>
              </w:rPr>
              <w:t>de las mujeres, muchos países siguen luchando por alcanzar niveles adecuados de</w:t>
            </w:r>
            <w:r>
              <w:rPr>
                <w:rFonts w:ascii="Arial" w:hAnsi="Arial" w:cs="Arial"/>
                <w:color w:val="000000"/>
                <w:sz w:val="20"/>
                <w:szCs w:val="20"/>
              </w:rPr>
              <w:t xml:space="preserve"> </w:t>
            </w:r>
            <w:r w:rsidRPr="00CB7FEF">
              <w:rPr>
                <w:rFonts w:ascii="Arial" w:hAnsi="Arial" w:cs="Arial"/>
                <w:color w:val="000000"/>
                <w:sz w:val="20"/>
                <w:szCs w:val="20"/>
              </w:rPr>
              <w:t>alfabetización, incluida la alfabetización digital. Aunque los beneficios de la alfabetización para</w:t>
            </w:r>
            <w:r>
              <w:rPr>
                <w:rFonts w:ascii="Arial" w:hAnsi="Arial" w:cs="Arial"/>
                <w:color w:val="000000"/>
                <w:sz w:val="20"/>
                <w:szCs w:val="20"/>
              </w:rPr>
              <w:t xml:space="preserve"> </w:t>
            </w:r>
            <w:r w:rsidRPr="00CB7FEF">
              <w:rPr>
                <w:rFonts w:ascii="Arial" w:hAnsi="Arial" w:cs="Arial"/>
                <w:color w:val="000000"/>
                <w:sz w:val="20"/>
                <w:szCs w:val="20"/>
              </w:rPr>
              <w:t>los individuos, las familias, las comunidades, las sociedades y el planeta están bien</w:t>
            </w:r>
            <w:r>
              <w:rPr>
                <w:rFonts w:ascii="Arial" w:hAnsi="Arial" w:cs="Arial"/>
                <w:color w:val="000000"/>
                <w:sz w:val="20"/>
                <w:szCs w:val="20"/>
              </w:rPr>
              <w:t xml:space="preserve"> </w:t>
            </w:r>
            <w:r w:rsidRPr="00CB7FEF">
              <w:rPr>
                <w:rFonts w:ascii="Arial" w:hAnsi="Arial" w:cs="Arial"/>
                <w:color w:val="000000"/>
                <w:sz w:val="20"/>
                <w:szCs w:val="20"/>
              </w:rPr>
              <w:t>documentados, la alfabetización de adultos no ha recibido suficiente atención política ni</w:t>
            </w:r>
            <w:r>
              <w:rPr>
                <w:rFonts w:ascii="Arial" w:hAnsi="Arial" w:cs="Arial"/>
                <w:color w:val="000000"/>
                <w:sz w:val="20"/>
                <w:szCs w:val="20"/>
              </w:rPr>
              <w:t xml:space="preserve"> </w:t>
            </w:r>
            <w:r w:rsidRPr="00CB7FEF">
              <w:rPr>
                <w:rFonts w:ascii="Arial" w:hAnsi="Arial" w:cs="Arial"/>
                <w:color w:val="000000"/>
                <w:sz w:val="20"/>
                <w:szCs w:val="20"/>
              </w:rPr>
              <w:t xml:space="preserve">apoyo financiero. Por lo tanto, estamos decididos a establecer marcos jurídicos y políticos </w:t>
            </w:r>
            <w:r w:rsidRPr="00CB7FEF">
              <w:rPr>
                <w:rFonts w:ascii="Arial" w:hAnsi="Arial" w:cs="Arial"/>
                <w:color w:val="000000"/>
                <w:sz w:val="20"/>
                <w:szCs w:val="20"/>
              </w:rPr>
              <w:lastRenderedPageBreak/>
              <w:t>que</w:t>
            </w:r>
            <w:r>
              <w:rPr>
                <w:rFonts w:ascii="Arial" w:hAnsi="Arial" w:cs="Arial"/>
                <w:color w:val="000000"/>
                <w:sz w:val="20"/>
                <w:szCs w:val="20"/>
              </w:rPr>
              <w:t xml:space="preserve"> </w:t>
            </w:r>
            <w:r w:rsidRPr="00CB7FEF">
              <w:rPr>
                <w:rFonts w:ascii="Arial" w:hAnsi="Arial" w:cs="Arial"/>
                <w:color w:val="000000"/>
                <w:sz w:val="20"/>
                <w:szCs w:val="20"/>
              </w:rPr>
              <w:t>promuevan el gobierno participativo y las asociaciones coordinadas, a todos los niveles y en</w:t>
            </w:r>
            <w:r>
              <w:rPr>
                <w:rFonts w:ascii="Arial" w:hAnsi="Arial" w:cs="Arial"/>
                <w:color w:val="000000"/>
                <w:sz w:val="20"/>
                <w:szCs w:val="20"/>
              </w:rPr>
              <w:t xml:space="preserve"> </w:t>
            </w:r>
            <w:r w:rsidRPr="00CB7FEF">
              <w:rPr>
                <w:rFonts w:ascii="Arial" w:hAnsi="Arial" w:cs="Arial"/>
                <w:color w:val="000000"/>
                <w:sz w:val="20"/>
                <w:szCs w:val="20"/>
              </w:rPr>
              <w:t>todos los sectores, que defiendan el derecho a la participación en la provisión de</w:t>
            </w:r>
            <w:r>
              <w:rPr>
                <w:rFonts w:ascii="Arial" w:hAnsi="Arial" w:cs="Arial"/>
                <w:color w:val="000000"/>
                <w:sz w:val="20"/>
                <w:szCs w:val="20"/>
              </w:rPr>
              <w:t xml:space="preserve"> </w:t>
            </w:r>
            <w:r w:rsidRPr="00CB7FEF">
              <w:rPr>
                <w:rFonts w:ascii="Arial" w:hAnsi="Arial" w:cs="Arial"/>
                <w:color w:val="000000"/>
                <w:sz w:val="20"/>
                <w:szCs w:val="20"/>
              </w:rPr>
              <w:t>alfabetización, especialmente para las mujeres y las personas que han sido excluidas, con un</w:t>
            </w:r>
            <w:r>
              <w:rPr>
                <w:rFonts w:ascii="Arial" w:hAnsi="Arial" w:cs="Arial"/>
                <w:color w:val="000000"/>
                <w:sz w:val="20"/>
                <w:szCs w:val="20"/>
              </w:rPr>
              <w:t xml:space="preserve"> </w:t>
            </w:r>
            <w:r w:rsidRPr="00CB7FEF">
              <w:rPr>
                <w:rFonts w:ascii="Arial" w:hAnsi="Arial" w:cs="Arial"/>
                <w:color w:val="000000"/>
                <w:sz w:val="20"/>
                <w:szCs w:val="20"/>
              </w:rPr>
              <w:t>mayor énfasis en abordar los bajos niveles de alfabetización a través de una serie de medidas</w:t>
            </w:r>
            <w:r>
              <w:rPr>
                <w:rFonts w:ascii="Arial" w:hAnsi="Arial" w:cs="Arial"/>
                <w:color w:val="000000"/>
                <w:sz w:val="20"/>
                <w:szCs w:val="20"/>
              </w:rPr>
              <w:t xml:space="preserve"> </w:t>
            </w:r>
            <w:r w:rsidRPr="00CB7FEF">
              <w:rPr>
                <w:rFonts w:ascii="Arial" w:hAnsi="Arial" w:cs="Arial"/>
                <w:color w:val="000000"/>
                <w:sz w:val="20"/>
                <w:szCs w:val="20"/>
              </w:rPr>
              <w:t>de apoyo que comienzan desde la primera infancia.</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color w:val="000000"/>
                <w:sz w:val="20"/>
                <w:szCs w:val="20"/>
              </w:rPr>
              <w:t xml:space="preserve">Preparar a los adultos para el </w:t>
            </w:r>
            <w:r w:rsidRPr="00CB7FEF">
              <w:rPr>
                <w:rFonts w:ascii="Arial" w:hAnsi="Arial" w:cs="Arial"/>
                <w:b/>
                <w:bCs/>
                <w:color w:val="000000"/>
                <w:sz w:val="20"/>
                <w:szCs w:val="20"/>
              </w:rPr>
              <w:t>futuro del trabajo</w:t>
            </w:r>
            <w:r w:rsidRPr="00CB7FEF">
              <w:rPr>
                <w:rFonts w:ascii="Arial" w:hAnsi="Arial" w:cs="Arial"/>
                <w:color w:val="000000"/>
                <w:sz w:val="20"/>
                <w:szCs w:val="20"/>
              </w:rPr>
              <w:t>: Los cambios demográficos, la cuarta</w:t>
            </w:r>
            <w:r>
              <w:rPr>
                <w:rFonts w:ascii="Arial" w:hAnsi="Arial" w:cs="Arial"/>
                <w:color w:val="000000"/>
                <w:sz w:val="20"/>
                <w:szCs w:val="20"/>
              </w:rPr>
              <w:t xml:space="preserve"> </w:t>
            </w:r>
            <w:r w:rsidRPr="00CB7FEF">
              <w:rPr>
                <w:rFonts w:ascii="Arial" w:hAnsi="Arial" w:cs="Arial"/>
                <w:color w:val="000000"/>
                <w:sz w:val="20"/>
                <w:szCs w:val="20"/>
              </w:rPr>
              <w:t>revolución industrial, la globalización y el cambio climático están transformando</w:t>
            </w:r>
            <w:r>
              <w:rPr>
                <w:rFonts w:ascii="Arial" w:hAnsi="Arial" w:cs="Arial"/>
                <w:color w:val="000000"/>
                <w:sz w:val="20"/>
                <w:szCs w:val="20"/>
              </w:rPr>
              <w:t xml:space="preserve"> </w:t>
            </w:r>
            <w:r w:rsidRPr="00CB7FEF">
              <w:rPr>
                <w:rFonts w:ascii="Arial" w:hAnsi="Arial" w:cs="Arial"/>
                <w:color w:val="000000"/>
                <w:sz w:val="20"/>
                <w:szCs w:val="20"/>
              </w:rPr>
              <w:t>profundamente la economía y el mercado laboral. Estas transformaciones tienen importantes</w:t>
            </w:r>
            <w:r>
              <w:rPr>
                <w:rFonts w:ascii="Arial" w:hAnsi="Arial" w:cs="Arial"/>
                <w:color w:val="000000"/>
                <w:sz w:val="20"/>
                <w:szCs w:val="20"/>
              </w:rPr>
              <w:t xml:space="preserve"> </w:t>
            </w:r>
            <w:r w:rsidRPr="00CB7FEF">
              <w:rPr>
                <w:rFonts w:ascii="Arial" w:hAnsi="Arial" w:cs="Arial"/>
                <w:color w:val="000000"/>
                <w:sz w:val="20"/>
                <w:szCs w:val="20"/>
              </w:rPr>
              <w:t>repercusiones en la naturaleza del trabajo, la estructura del empleo, el contenido de los</w:t>
            </w:r>
            <w:r>
              <w:rPr>
                <w:rFonts w:ascii="Arial" w:hAnsi="Arial" w:cs="Arial"/>
                <w:color w:val="000000"/>
                <w:sz w:val="20"/>
                <w:szCs w:val="20"/>
              </w:rPr>
              <w:t xml:space="preserve"> </w:t>
            </w:r>
            <w:r w:rsidRPr="00CB7FEF">
              <w:rPr>
                <w:rFonts w:ascii="Arial" w:hAnsi="Arial" w:cs="Arial"/>
                <w:color w:val="000000"/>
                <w:sz w:val="20"/>
                <w:szCs w:val="20"/>
              </w:rPr>
              <w:t>puestos de trabajo y las competencias y aptitudes requeridas. La transición lineal educación</w:t>
            </w:r>
            <w:r>
              <w:rPr>
                <w:rFonts w:ascii="Arial" w:hAnsi="Arial" w:cs="Arial"/>
                <w:color w:val="000000"/>
                <w:sz w:val="20"/>
                <w:szCs w:val="20"/>
              </w:rPr>
              <w:t>-</w:t>
            </w:r>
            <w:r w:rsidRPr="00CB7FEF">
              <w:rPr>
                <w:rFonts w:ascii="Arial" w:hAnsi="Arial" w:cs="Arial"/>
                <w:color w:val="000000"/>
                <w:sz w:val="20"/>
                <w:szCs w:val="20"/>
              </w:rPr>
              <w:t>trabajo</w:t>
            </w:r>
            <w:r>
              <w:rPr>
                <w:rFonts w:ascii="Arial" w:hAnsi="Arial" w:cs="Arial"/>
                <w:color w:val="000000"/>
                <w:sz w:val="20"/>
                <w:szCs w:val="20"/>
              </w:rPr>
              <w:t xml:space="preserve"> </w:t>
            </w:r>
            <w:r w:rsidRPr="00CB7FEF">
              <w:rPr>
                <w:rFonts w:ascii="Arial" w:hAnsi="Arial" w:cs="Arial"/>
                <w:color w:val="000000"/>
                <w:sz w:val="20"/>
                <w:szCs w:val="20"/>
              </w:rPr>
              <w:t>que fue el patrón dominante durante décadas es cada vez menos relevante ya que,</w:t>
            </w:r>
            <w:r>
              <w:rPr>
                <w:rFonts w:ascii="Arial" w:hAnsi="Arial" w:cs="Arial"/>
                <w:color w:val="000000"/>
                <w:sz w:val="20"/>
                <w:szCs w:val="20"/>
              </w:rPr>
              <w:t xml:space="preserve"> </w:t>
            </w:r>
            <w:r w:rsidRPr="00CB7FEF">
              <w:rPr>
                <w:rFonts w:ascii="Arial" w:hAnsi="Arial" w:cs="Arial"/>
                <w:color w:val="000000"/>
                <w:sz w:val="20"/>
                <w:szCs w:val="20"/>
              </w:rPr>
              <w:t>cada vez más, los adultos siguen trayectorias complejas a lo largo de su vida laboral. En este</w:t>
            </w:r>
            <w:r>
              <w:rPr>
                <w:rFonts w:ascii="Arial" w:hAnsi="Arial" w:cs="Arial"/>
                <w:color w:val="000000"/>
                <w:sz w:val="20"/>
                <w:szCs w:val="20"/>
              </w:rPr>
              <w:t xml:space="preserve"> </w:t>
            </w:r>
            <w:r w:rsidRPr="00CB7FEF">
              <w:rPr>
                <w:rFonts w:ascii="Arial" w:hAnsi="Arial" w:cs="Arial"/>
                <w:color w:val="000000"/>
                <w:sz w:val="20"/>
                <w:szCs w:val="20"/>
              </w:rPr>
              <w:t>contexto, la tarea del AEA, a través de la responsabilidad compartida de las partes interesadas,</w:t>
            </w:r>
            <w:r>
              <w:rPr>
                <w:rFonts w:ascii="Arial" w:hAnsi="Arial" w:cs="Arial"/>
                <w:color w:val="000000"/>
                <w:sz w:val="20"/>
                <w:szCs w:val="20"/>
              </w:rPr>
              <w:t xml:space="preserve"> </w:t>
            </w:r>
            <w:r w:rsidRPr="00CB7FEF">
              <w:rPr>
                <w:rFonts w:ascii="Arial" w:hAnsi="Arial" w:cs="Arial"/>
                <w:color w:val="000000"/>
                <w:sz w:val="20"/>
                <w:szCs w:val="20"/>
              </w:rPr>
              <w:t>es proporcionar de manera flexible, la adquisición equitativa de los conocimientos relevantes,</w:t>
            </w:r>
            <w:r>
              <w:rPr>
                <w:rFonts w:ascii="Arial" w:hAnsi="Arial" w:cs="Arial"/>
                <w:color w:val="000000"/>
                <w:sz w:val="20"/>
                <w:szCs w:val="20"/>
              </w:rPr>
              <w:t xml:space="preserve"> </w:t>
            </w:r>
            <w:r w:rsidRPr="00CB7FEF">
              <w:rPr>
                <w:rFonts w:ascii="Arial" w:hAnsi="Arial" w:cs="Arial"/>
                <w:color w:val="000000"/>
                <w:sz w:val="20"/>
                <w:szCs w:val="20"/>
              </w:rPr>
              <w:t>las competencias y las habilidades pertinentes a través del curso de la vida, incluso a través</w:t>
            </w:r>
            <w:r>
              <w:rPr>
                <w:rFonts w:ascii="Arial" w:hAnsi="Arial" w:cs="Arial"/>
                <w:color w:val="000000"/>
                <w:sz w:val="20"/>
                <w:szCs w:val="20"/>
              </w:rPr>
              <w:t xml:space="preserve"> </w:t>
            </w:r>
            <w:r w:rsidRPr="00CB7FEF">
              <w:rPr>
                <w:rFonts w:ascii="Arial" w:hAnsi="Arial" w:cs="Arial"/>
                <w:color w:val="000000"/>
                <w:sz w:val="20"/>
                <w:szCs w:val="20"/>
              </w:rPr>
              <w:t>del aprendizaje personalizado en línea. Las tendencias demográficas también indican que la</w:t>
            </w:r>
            <w:r>
              <w:rPr>
                <w:rFonts w:ascii="Arial" w:hAnsi="Arial" w:cs="Arial"/>
                <w:color w:val="000000"/>
                <w:sz w:val="20"/>
                <w:szCs w:val="20"/>
              </w:rPr>
              <w:t xml:space="preserve"> </w:t>
            </w:r>
            <w:r w:rsidRPr="00CB7FEF">
              <w:rPr>
                <w:rFonts w:ascii="Arial" w:hAnsi="Arial" w:cs="Arial"/>
                <w:color w:val="000000"/>
                <w:sz w:val="20"/>
                <w:szCs w:val="20"/>
              </w:rPr>
              <w:t>esperanza de vida de las personas en todo el mundo sigue aumentando, lo que contribuye a</w:t>
            </w:r>
            <w:r>
              <w:rPr>
                <w:rFonts w:ascii="Arial" w:hAnsi="Arial" w:cs="Arial"/>
                <w:color w:val="000000"/>
                <w:sz w:val="20"/>
                <w:szCs w:val="20"/>
              </w:rPr>
              <w:t xml:space="preserve"> </w:t>
            </w:r>
            <w:r w:rsidRPr="00CB7FEF">
              <w:rPr>
                <w:rFonts w:ascii="Arial" w:hAnsi="Arial" w:cs="Arial"/>
                <w:color w:val="000000"/>
                <w:sz w:val="20"/>
                <w:szCs w:val="20"/>
              </w:rPr>
              <w:t>la llegada de un mundo que envejece. Dado que, en un número cada vez mayor de países, una</w:t>
            </w:r>
            <w:r>
              <w:rPr>
                <w:rFonts w:ascii="Arial" w:hAnsi="Arial" w:cs="Arial"/>
                <w:color w:val="000000"/>
                <w:sz w:val="20"/>
                <w:szCs w:val="20"/>
              </w:rPr>
              <w:t xml:space="preserve"> </w:t>
            </w:r>
            <w:r w:rsidRPr="00CB7FEF">
              <w:rPr>
                <w:rFonts w:ascii="Arial" w:hAnsi="Arial" w:cs="Arial"/>
                <w:color w:val="000000"/>
                <w:sz w:val="20"/>
                <w:szCs w:val="20"/>
              </w:rPr>
              <w:t>gran parte de la población no trabajará, debemos adaptar la naturaleza del AEA, centrándonos</w:t>
            </w:r>
            <w:r>
              <w:rPr>
                <w:rFonts w:ascii="Arial" w:hAnsi="Arial" w:cs="Arial"/>
                <w:color w:val="000000"/>
                <w:sz w:val="20"/>
                <w:szCs w:val="20"/>
              </w:rPr>
              <w:t xml:space="preserve"> </w:t>
            </w:r>
            <w:r w:rsidRPr="00CB7FEF">
              <w:rPr>
                <w:rFonts w:ascii="Arial" w:hAnsi="Arial" w:cs="Arial"/>
                <w:color w:val="000000"/>
                <w:sz w:val="20"/>
                <w:szCs w:val="20"/>
              </w:rPr>
              <w:t>más en la preparación de los adultos mayores para las actividades post-laborales socialmente</w:t>
            </w:r>
            <w:r>
              <w:rPr>
                <w:rFonts w:ascii="Arial" w:hAnsi="Arial" w:cs="Arial"/>
                <w:color w:val="000000"/>
                <w:sz w:val="20"/>
                <w:szCs w:val="20"/>
              </w:rPr>
              <w:t xml:space="preserve"> </w:t>
            </w:r>
            <w:r w:rsidRPr="00CB7FEF">
              <w:rPr>
                <w:rFonts w:ascii="Arial" w:hAnsi="Arial" w:cs="Arial"/>
                <w:color w:val="000000"/>
                <w:sz w:val="20"/>
                <w:szCs w:val="20"/>
              </w:rPr>
              <w:t>gratificantes, y haciendo mayor hincapié en el bienestar y el disfrute de la vida personal y</w:t>
            </w:r>
            <w:r>
              <w:rPr>
                <w:rFonts w:ascii="Arial" w:hAnsi="Arial" w:cs="Arial"/>
                <w:color w:val="000000"/>
                <w:sz w:val="20"/>
                <w:szCs w:val="20"/>
              </w:rPr>
              <w:t xml:space="preserve"> </w:t>
            </w:r>
            <w:r w:rsidRPr="00CB7FEF">
              <w:rPr>
                <w:rFonts w:ascii="Arial" w:hAnsi="Arial" w:cs="Arial"/>
                <w:color w:val="000000"/>
                <w:sz w:val="20"/>
                <w:szCs w:val="20"/>
              </w:rPr>
              <w:t>social. Además, la transformación de la economía requerida para lograr la neutralidad del</w:t>
            </w:r>
            <w:r>
              <w:rPr>
                <w:rFonts w:ascii="Arial" w:hAnsi="Arial" w:cs="Arial"/>
                <w:color w:val="000000"/>
                <w:sz w:val="20"/>
                <w:szCs w:val="20"/>
              </w:rPr>
              <w:t xml:space="preserve"> </w:t>
            </w:r>
            <w:r w:rsidRPr="00CB7FEF">
              <w:rPr>
                <w:rFonts w:ascii="Arial" w:hAnsi="Arial" w:cs="Arial"/>
                <w:color w:val="000000"/>
                <w:sz w:val="20"/>
                <w:szCs w:val="20"/>
              </w:rPr>
              <w:t>carbono y proteger el medio ambiente creará una necesidad urgente de volver a capacitar a</w:t>
            </w:r>
            <w:r>
              <w:rPr>
                <w:rFonts w:ascii="Arial" w:hAnsi="Arial" w:cs="Arial"/>
                <w:color w:val="000000"/>
                <w:sz w:val="20"/>
                <w:szCs w:val="20"/>
              </w:rPr>
              <w:t xml:space="preserve"> </w:t>
            </w:r>
            <w:r w:rsidRPr="00CB7FEF">
              <w:rPr>
                <w:rFonts w:ascii="Arial" w:hAnsi="Arial" w:cs="Arial"/>
                <w:color w:val="000000"/>
                <w:sz w:val="20"/>
                <w:szCs w:val="20"/>
              </w:rPr>
              <w:t>los adultos que ya se encuentran en el mercado laboral.</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color w:val="000000"/>
                <w:sz w:val="20"/>
                <w:szCs w:val="20"/>
              </w:rPr>
              <w:t xml:space="preserve">Promover el aprendizaje de los adultos en </w:t>
            </w:r>
            <w:r w:rsidRPr="00CB7FEF">
              <w:rPr>
                <w:rFonts w:ascii="Arial" w:hAnsi="Arial" w:cs="Arial"/>
                <w:b/>
                <w:bCs/>
                <w:color w:val="000000"/>
                <w:sz w:val="20"/>
                <w:szCs w:val="20"/>
              </w:rPr>
              <w:t>entornos digitales</w:t>
            </w:r>
            <w:r w:rsidRPr="00CB7FEF">
              <w:rPr>
                <w:rFonts w:ascii="Arial" w:hAnsi="Arial" w:cs="Arial"/>
                <w:color w:val="000000"/>
                <w:sz w:val="20"/>
                <w:szCs w:val="20"/>
              </w:rPr>
              <w:t>: La tecnología está</w:t>
            </w:r>
            <w:r>
              <w:rPr>
                <w:rFonts w:ascii="Arial" w:hAnsi="Arial" w:cs="Arial"/>
                <w:color w:val="000000"/>
                <w:sz w:val="20"/>
                <w:szCs w:val="20"/>
              </w:rPr>
              <w:t xml:space="preserve"> </w:t>
            </w:r>
            <w:r w:rsidRPr="00CB7FEF">
              <w:rPr>
                <w:rFonts w:ascii="Arial" w:hAnsi="Arial" w:cs="Arial"/>
                <w:color w:val="000000"/>
                <w:sz w:val="20"/>
                <w:szCs w:val="20"/>
              </w:rPr>
              <w:t>introduciendo cambios importantes en la forma de aprender de los adultos, en la manera en</w:t>
            </w:r>
            <w:r>
              <w:rPr>
                <w:rFonts w:ascii="Arial" w:hAnsi="Arial" w:cs="Arial"/>
                <w:color w:val="000000"/>
                <w:sz w:val="20"/>
                <w:szCs w:val="20"/>
              </w:rPr>
              <w:t xml:space="preserve"> </w:t>
            </w:r>
            <w:r w:rsidRPr="00CB7FEF">
              <w:rPr>
                <w:rFonts w:ascii="Arial" w:hAnsi="Arial" w:cs="Arial"/>
                <w:color w:val="000000"/>
                <w:sz w:val="20"/>
                <w:szCs w:val="20"/>
              </w:rPr>
              <w:t>que se efectúa la enseñanza y en la naturaleza de las competencias y habilidades necesarias.</w:t>
            </w:r>
            <w:r>
              <w:rPr>
                <w:rFonts w:ascii="Arial" w:hAnsi="Arial" w:cs="Arial"/>
                <w:color w:val="000000"/>
                <w:sz w:val="20"/>
                <w:szCs w:val="20"/>
              </w:rPr>
              <w:t xml:space="preserve"> </w:t>
            </w:r>
            <w:r w:rsidRPr="00CB7FEF">
              <w:rPr>
                <w:rFonts w:ascii="Arial" w:hAnsi="Arial" w:cs="Arial"/>
                <w:color w:val="000000"/>
                <w:sz w:val="20"/>
                <w:szCs w:val="20"/>
              </w:rPr>
              <w:t>Se ha convertido en un poderoso facilitador y catalizador del aprendizaje individual. Aunque</w:t>
            </w:r>
            <w:r>
              <w:rPr>
                <w:rFonts w:ascii="Arial" w:hAnsi="Arial" w:cs="Arial"/>
                <w:color w:val="000000"/>
                <w:sz w:val="20"/>
                <w:szCs w:val="20"/>
              </w:rPr>
              <w:t xml:space="preserve"> </w:t>
            </w:r>
            <w:r w:rsidRPr="00CB7FEF">
              <w:rPr>
                <w:rFonts w:ascii="Arial" w:hAnsi="Arial" w:cs="Arial"/>
                <w:color w:val="000000"/>
                <w:sz w:val="20"/>
                <w:szCs w:val="20"/>
              </w:rPr>
              <w:t xml:space="preserve">la tecnología puede ser un motor de progreso en la </w:t>
            </w:r>
            <w:r w:rsidRPr="00CB7FEF">
              <w:rPr>
                <w:rFonts w:ascii="Arial" w:hAnsi="Arial" w:cs="Arial"/>
                <w:color w:val="000000"/>
                <w:sz w:val="20"/>
                <w:szCs w:val="20"/>
              </w:rPr>
              <w:lastRenderedPageBreak/>
              <w:t>educación, también puede crear nuevas</w:t>
            </w:r>
            <w:r>
              <w:rPr>
                <w:rFonts w:ascii="Arial" w:hAnsi="Arial" w:cs="Arial"/>
                <w:color w:val="000000"/>
                <w:sz w:val="20"/>
                <w:szCs w:val="20"/>
              </w:rPr>
              <w:t xml:space="preserve"> </w:t>
            </w:r>
            <w:r w:rsidRPr="00CB7FEF">
              <w:rPr>
                <w:rFonts w:ascii="Arial" w:hAnsi="Arial" w:cs="Arial"/>
                <w:color w:val="000000"/>
                <w:sz w:val="20"/>
                <w:szCs w:val="20"/>
              </w:rPr>
              <w:t>barreras de acceso, hacer más difícil el aprendizaje social o colectivo, ampliar las brechas</w:t>
            </w:r>
            <w:r>
              <w:rPr>
                <w:rFonts w:ascii="Arial" w:hAnsi="Arial" w:cs="Arial"/>
                <w:color w:val="000000"/>
                <w:sz w:val="20"/>
                <w:szCs w:val="20"/>
              </w:rPr>
              <w:t xml:space="preserve"> </w:t>
            </w:r>
            <w:r w:rsidRPr="00CB7FEF">
              <w:rPr>
                <w:rFonts w:ascii="Arial" w:hAnsi="Arial" w:cs="Arial"/>
                <w:color w:val="000000"/>
                <w:sz w:val="20"/>
                <w:szCs w:val="20"/>
              </w:rPr>
              <w:t>sociales existentes y crear otras nuevas. Esto tiene implicaciones en la forma en que los</w:t>
            </w:r>
            <w:r>
              <w:rPr>
                <w:rFonts w:ascii="Arial" w:hAnsi="Arial" w:cs="Arial"/>
                <w:color w:val="000000"/>
                <w:sz w:val="20"/>
                <w:szCs w:val="20"/>
              </w:rPr>
              <w:t xml:space="preserve"> </w:t>
            </w:r>
            <w:r w:rsidRPr="00CB7FEF">
              <w:rPr>
                <w:rFonts w:ascii="Arial" w:hAnsi="Arial" w:cs="Arial"/>
                <w:color w:val="000000"/>
                <w:sz w:val="20"/>
                <w:szCs w:val="20"/>
              </w:rPr>
              <w:t>adultos se comprometen como miembros activos de la sociedad, y aumenta la importancia</w:t>
            </w:r>
            <w:r>
              <w:rPr>
                <w:rFonts w:ascii="Arial" w:hAnsi="Arial" w:cs="Arial"/>
                <w:color w:val="000000"/>
                <w:sz w:val="20"/>
                <w:szCs w:val="20"/>
              </w:rPr>
              <w:t xml:space="preserve"> </w:t>
            </w:r>
            <w:r w:rsidRPr="00CB7FEF">
              <w:rPr>
                <w:rFonts w:ascii="Arial" w:hAnsi="Arial" w:cs="Arial"/>
                <w:color w:val="000000"/>
                <w:sz w:val="20"/>
                <w:szCs w:val="20"/>
              </w:rPr>
              <w:t>del pensamiento crítico, la comunicación, la empatía y las habilidades sociales cuando se</w:t>
            </w:r>
            <w:r>
              <w:rPr>
                <w:rFonts w:ascii="Arial" w:hAnsi="Arial" w:cs="Arial"/>
                <w:color w:val="000000"/>
                <w:sz w:val="20"/>
                <w:szCs w:val="20"/>
              </w:rPr>
              <w:t xml:space="preserve"> </w:t>
            </w:r>
            <w:r w:rsidRPr="00CB7FEF">
              <w:rPr>
                <w:rFonts w:ascii="Arial" w:hAnsi="Arial" w:cs="Arial"/>
                <w:color w:val="000000"/>
                <w:sz w:val="20"/>
                <w:szCs w:val="20"/>
              </w:rPr>
              <w:t>navega por entornos en línea para contrarrestar la desinformación y las noticias "falsas". La</w:t>
            </w:r>
            <w:r>
              <w:rPr>
                <w:rFonts w:ascii="Arial" w:hAnsi="Arial" w:cs="Arial"/>
                <w:color w:val="000000"/>
                <w:sz w:val="20"/>
                <w:szCs w:val="20"/>
              </w:rPr>
              <w:t xml:space="preserve"> </w:t>
            </w:r>
            <w:r w:rsidRPr="00CB7FEF">
              <w:rPr>
                <w:rFonts w:ascii="Arial" w:hAnsi="Arial" w:cs="Arial"/>
                <w:color w:val="000000"/>
                <w:sz w:val="20"/>
                <w:szCs w:val="20"/>
              </w:rPr>
              <w:t>creación de estrategias, políticas e instrumentos eficaces, la reducción de las brechas</w:t>
            </w:r>
            <w:r>
              <w:rPr>
                <w:rFonts w:ascii="Arial" w:hAnsi="Arial" w:cs="Arial"/>
                <w:color w:val="000000"/>
                <w:sz w:val="20"/>
                <w:szCs w:val="20"/>
              </w:rPr>
              <w:t xml:space="preserve"> </w:t>
            </w:r>
            <w:r w:rsidRPr="00CB7FEF">
              <w:rPr>
                <w:rFonts w:ascii="Arial" w:hAnsi="Arial" w:cs="Arial"/>
                <w:color w:val="000000"/>
                <w:sz w:val="20"/>
                <w:szCs w:val="20"/>
              </w:rPr>
              <w:t>digitales, el aumento del acceso, el tratamiento de las relaciones de poder en la red y la</w:t>
            </w:r>
            <w:r>
              <w:rPr>
                <w:rFonts w:ascii="Arial" w:hAnsi="Arial" w:cs="Arial"/>
                <w:color w:val="000000"/>
                <w:sz w:val="20"/>
                <w:szCs w:val="20"/>
              </w:rPr>
              <w:t xml:space="preserve"> </w:t>
            </w:r>
            <w:r w:rsidRPr="00CB7FEF">
              <w:rPr>
                <w:rFonts w:ascii="Arial" w:hAnsi="Arial" w:cs="Arial"/>
                <w:color w:val="000000"/>
                <w:sz w:val="20"/>
                <w:szCs w:val="20"/>
              </w:rPr>
              <w:t>prevención del abuso de la tecnología son cruciales para establecer el poder transformador</w:t>
            </w:r>
            <w:r>
              <w:rPr>
                <w:rFonts w:ascii="Arial" w:hAnsi="Arial" w:cs="Arial"/>
                <w:color w:val="000000"/>
                <w:sz w:val="20"/>
                <w:szCs w:val="20"/>
              </w:rPr>
              <w:t xml:space="preserve"> </w:t>
            </w:r>
            <w:r w:rsidRPr="00CB7FEF">
              <w:rPr>
                <w:rFonts w:ascii="Arial" w:hAnsi="Arial" w:cs="Arial"/>
                <w:color w:val="000000"/>
                <w:sz w:val="20"/>
                <w:szCs w:val="20"/>
              </w:rPr>
              <w:t>y emancipador del AEA. Las pedagogías digitales eficaces también requieren nuevos modelos</w:t>
            </w:r>
            <w:r>
              <w:rPr>
                <w:rFonts w:ascii="Arial" w:hAnsi="Arial" w:cs="Arial"/>
                <w:color w:val="000000"/>
                <w:sz w:val="20"/>
                <w:szCs w:val="20"/>
              </w:rPr>
              <w:t xml:space="preserve"> </w:t>
            </w:r>
            <w:r w:rsidRPr="00CB7FEF">
              <w:rPr>
                <w:rFonts w:ascii="Arial" w:hAnsi="Arial" w:cs="Arial"/>
                <w:color w:val="000000"/>
                <w:sz w:val="20"/>
                <w:szCs w:val="20"/>
              </w:rPr>
              <w:t>de enseñanza y aprendizaje presencial, a distancia y en formatos mixtos.</w:t>
            </w:r>
          </w:p>
          <w:p w:rsid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color w:val="000000"/>
                <w:sz w:val="20"/>
                <w:szCs w:val="20"/>
              </w:rPr>
              <w:t xml:space="preserve">Liberar el potencial del aprendizaje y la educación de adultos para la </w:t>
            </w:r>
            <w:r w:rsidRPr="00CB7FEF">
              <w:rPr>
                <w:rFonts w:ascii="Arial" w:hAnsi="Arial" w:cs="Arial"/>
                <w:b/>
                <w:bCs/>
                <w:color w:val="000000"/>
                <w:sz w:val="20"/>
                <w:szCs w:val="20"/>
              </w:rPr>
              <w:t>acción climática</w:t>
            </w:r>
            <w:r w:rsidRPr="00CB7FEF">
              <w:rPr>
                <w:rFonts w:ascii="Arial" w:hAnsi="Arial" w:cs="Arial"/>
                <w:color w:val="000000"/>
                <w:sz w:val="20"/>
                <w:szCs w:val="20"/>
              </w:rPr>
              <w:t>: El</w:t>
            </w:r>
            <w:r>
              <w:rPr>
                <w:rFonts w:ascii="Arial" w:hAnsi="Arial" w:cs="Arial"/>
                <w:color w:val="000000"/>
                <w:sz w:val="20"/>
                <w:szCs w:val="20"/>
              </w:rPr>
              <w:t xml:space="preserve"> </w:t>
            </w:r>
            <w:r w:rsidRPr="00CB7FEF">
              <w:rPr>
                <w:rFonts w:ascii="Arial" w:hAnsi="Arial" w:cs="Arial"/>
                <w:color w:val="000000"/>
                <w:sz w:val="20"/>
                <w:szCs w:val="20"/>
              </w:rPr>
              <w:t>cambio climático representa una enorme amenaza tanto para la humanidad como para otras</w:t>
            </w:r>
            <w:r>
              <w:rPr>
                <w:rFonts w:ascii="Arial" w:hAnsi="Arial" w:cs="Arial"/>
                <w:color w:val="000000"/>
                <w:sz w:val="20"/>
                <w:szCs w:val="20"/>
              </w:rPr>
              <w:t xml:space="preserve"> </w:t>
            </w:r>
            <w:r w:rsidRPr="00CB7FEF">
              <w:rPr>
                <w:rFonts w:ascii="Arial" w:hAnsi="Arial" w:cs="Arial"/>
                <w:color w:val="000000"/>
                <w:sz w:val="20"/>
                <w:szCs w:val="20"/>
              </w:rPr>
              <w:t>especies. Nos obliga a cuestionar los modelos de producción actuales, a inventar nuevas</w:t>
            </w:r>
            <w:r>
              <w:rPr>
                <w:rFonts w:ascii="Arial" w:hAnsi="Arial" w:cs="Arial"/>
                <w:color w:val="000000"/>
                <w:sz w:val="20"/>
                <w:szCs w:val="20"/>
              </w:rPr>
              <w:t xml:space="preserve"> </w:t>
            </w:r>
            <w:r w:rsidRPr="00CB7FEF">
              <w:rPr>
                <w:rFonts w:ascii="Arial" w:hAnsi="Arial" w:cs="Arial"/>
                <w:color w:val="000000"/>
                <w:sz w:val="20"/>
                <w:szCs w:val="20"/>
              </w:rPr>
              <w:t>industrias y a aceptar la responsabilidad moral de las sociedades de hoy para las generaciones</w:t>
            </w:r>
            <w:r>
              <w:rPr>
                <w:rFonts w:ascii="Arial" w:hAnsi="Arial" w:cs="Arial"/>
                <w:color w:val="000000"/>
                <w:sz w:val="20"/>
                <w:szCs w:val="20"/>
              </w:rPr>
              <w:t xml:space="preserve"> </w:t>
            </w:r>
            <w:r w:rsidRPr="00CB7FEF">
              <w:rPr>
                <w:rFonts w:ascii="Arial" w:hAnsi="Arial" w:cs="Arial"/>
                <w:color w:val="000000"/>
                <w:sz w:val="20"/>
                <w:szCs w:val="20"/>
              </w:rPr>
              <w:t>futuras, reconociendo que el cuidado del planeta debe convertirse en un imperativo mundial.</w:t>
            </w:r>
            <w:r>
              <w:rPr>
                <w:rFonts w:ascii="Arial" w:hAnsi="Arial" w:cs="Arial"/>
                <w:color w:val="000000"/>
                <w:sz w:val="20"/>
                <w:szCs w:val="20"/>
              </w:rPr>
              <w:t xml:space="preserve"> </w:t>
            </w:r>
            <w:r w:rsidRPr="00CB7FEF">
              <w:rPr>
                <w:rFonts w:ascii="Arial" w:hAnsi="Arial" w:cs="Arial"/>
                <w:color w:val="000000"/>
                <w:sz w:val="20"/>
                <w:szCs w:val="20"/>
              </w:rPr>
              <w:t>El AEA debe formar parte de esta transformación ecologista. Permite a los jóvenes, a los</w:t>
            </w:r>
            <w:r>
              <w:rPr>
                <w:rFonts w:ascii="Arial" w:hAnsi="Arial" w:cs="Arial"/>
                <w:color w:val="000000"/>
                <w:sz w:val="20"/>
                <w:szCs w:val="20"/>
              </w:rPr>
              <w:t xml:space="preserve"> </w:t>
            </w:r>
            <w:r w:rsidRPr="00CB7FEF">
              <w:rPr>
                <w:rFonts w:ascii="Arial" w:hAnsi="Arial" w:cs="Arial"/>
                <w:color w:val="000000"/>
                <w:sz w:val="20"/>
                <w:szCs w:val="20"/>
              </w:rPr>
              <w:t>adultos y a las personas mayores comprender el problema, sensibilizarlos y dotarlos de los</w:t>
            </w:r>
            <w:r>
              <w:rPr>
                <w:rFonts w:ascii="Arial" w:hAnsi="Arial" w:cs="Arial"/>
                <w:color w:val="000000"/>
                <w:sz w:val="20"/>
                <w:szCs w:val="20"/>
              </w:rPr>
              <w:t xml:space="preserve"> </w:t>
            </w:r>
            <w:r w:rsidRPr="00CB7FEF">
              <w:rPr>
                <w:rFonts w:ascii="Arial" w:hAnsi="Arial" w:cs="Arial"/>
                <w:color w:val="000000"/>
                <w:sz w:val="20"/>
                <w:szCs w:val="20"/>
              </w:rPr>
              <w:t>conocimientos y la capacidad de acción necesarios para adaptarse al cambio climático y</w:t>
            </w:r>
            <w:r>
              <w:rPr>
                <w:rFonts w:ascii="Arial" w:hAnsi="Arial" w:cs="Arial"/>
                <w:color w:val="000000"/>
                <w:sz w:val="20"/>
                <w:szCs w:val="20"/>
              </w:rPr>
              <w:t xml:space="preserve"> </w:t>
            </w:r>
            <w:r w:rsidRPr="00CB7FEF">
              <w:rPr>
                <w:rFonts w:ascii="Arial" w:hAnsi="Arial" w:cs="Arial"/>
                <w:color w:val="000000"/>
                <w:sz w:val="20"/>
                <w:szCs w:val="20"/>
              </w:rPr>
              <w:t>mitigar su impacto. Por lo tanto, el AEA puede desempeñar un papel importante en el</w:t>
            </w:r>
            <w:r>
              <w:rPr>
                <w:rFonts w:ascii="Arial" w:hAnsi="Arial" w:cs="Arial"/>
                <w:color w:val="000000"/>
                <w:sz w:val="20"/>
                <w:szCs w:val="20"/>
              </w:rPr>
              <w:t xml:space="preserve"> </w:t>
            </w:r>
            <w:r w:rsidRPr="00CB7FEF">
              <w:rPr>
                <w:rFonts w:ascii="Arial" w:hAnsi="Arial" w:cs="Arial"/>
                <w:color w:val="000000"/>
                <w:sz w:val="20"/>
                <w:szCs w:val="20"/>
              </w:rPr>
              <w:t>empoderamiento de los ciudadanos adultos y adultos mayores para que se conviertan en</w:t>
            </w:r>
            <w:r>
              <w:rPr>
                <w:rFonts w:ascii="Arial" w:hAnsi="Arial" w:cs="Arial"/>
                <w:color w:val="000000"/>
                <w:sz w:val="20"/>
                <w:szCs w:val="20"/>
              </w:rPr>
              <w:t xml:space="preserve"> </w:t>
            </w:r>
            <w:r w:rsidRPr="00CB7FEF">
              <w:rPr>
                <w:rFonts w:ascii="Arial" w:hAnsi="Arial" w:cs="Arial"/>
                <w:color w:val="000000"/>
                <w:sz w:val="20"/>
                <w:szCs w:val="20"/>
              </w:rPr>
              <w:t>modelos para los niños y en agentes del cambio a nivel local, nacional y mundial.</w:t>
            </w:r>
          </w:p>
          <w:p w:rsidR="008803F0" w:rsidRPr="008803F0" w:rsidRDefault="008803F0" w:rsidP="008803F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color w:val="000000"/>
                <w:sz w:val="20"/>
                <w:szCs w:val="20"/>
              </w:rPr>
              <w:t xml:space="preserve">Crear una </w:t>
            </w:r>
            <w:r w:rsidRPr="00CB7FEF">
              <w:rPr>
                <w:rFonts w:ascii="Arial" w:hAnsi="Arial" w:cs="Arial"/>
                <w:b/>
                <w:bCs/>
                <w:color w:val="000000"/>
                <w:sz w:val="20"/>
                <w:szCs w:val="20"/>
              </w:rPr>
              <w:t>cultura del aprendizaje a lo largo de toda la vida</w:t>
            </w:r>
            <w:r w:rsidRPr="00CB7FEF">
              <w:rPr>
                <w:rFonts w:ascii="Arial" w:hAnsi="Arial" w:cs="Arial"/>
                <w:color w:val="000000"/>
                <w:sz w:val="20"/>
                <w:szCs w:val="20"/>
              </w:rPr>
              <w:t>: El aprendizaje a lo largo de toda</w:t>
            </w:r>
            <w:r>
              <w:rPr>
                <w:rFonts w:ascii="Arial" w:hAnsi="Arial" w:cs="Arial"/>
                <w:color w:val="000000"/>
                <w:sz w:val="20"/>
                <w:szCs w:val="20"/>
              </w:rPr>
              <w:t xml:space="preserve"> </w:t>
            </w:r>
            <w:r w:rsidRPr="00CB7FEF">
              <w:rPr>
                <w:rFonts w:ascii="Arial" w:hAnsi="Arial" w:cs="Arial"/>
                <w:color w:val="000000"/>
                <w:sz w:val="20"/>
                <w:szCs w:val="20"/>
              </w:rPr>
              <w:t>la vida será clave para abordar los desafíos que enfrenta la humanidad, desde la crisis</w:t>
            </w:r>
            <w:r>
              <w:rPr>
                <w:rFonts w:ascii="Arial" w:hAnsi="Arial" w:cs="Arial"/>
                <w:color w:val="000000"/>
                <w:sz w:val="20"/>
                <w:szCs w:val="20"/>
              </w:rPr>
              <w:t xml:space="preserve"> </w:t>
            </w:r>
            <w:r w:rsidRPr="00CB7FEF">
              <w:rPr>
                <w:rFonts w:ascii="Arial" w:hAnsi="Arial" w:cs="Arial"/>
                <w:color w:val="000000"/>
                <w:sz w:val="20"/>
                <w:szCs w:val="20"/>
              </w:rPr>
              <w:t>climática hasta el cambio tecnológico y demográfico, sin mencionar los que plantea la</w:t>
            </w:r>
            <w:r>
              <w:rPr>
                <w:rFonts w:ascii="Arial" w:hAnsi="Arial" w:cs="Arial"/>
                <w:color w:val="000000"/>
                <w:sz w:val="20"/>
                <w:szCs w:val="20"/>
              </w:rPr>
              <w:t xml:space="preserve"> </w:t>
            </w:r>
            <w:r w:rsidRPr="00CB7FEF">
              <w:rPr>
                <w:rFonts w:ascii="Arial" w:hAnsi="Arial" w:cs="Arial"/>
                <w:color w:val="000000"/>
                <w:sz w:val="20"/>
                <w:szCs w:val="20"/>
              </w:rPr>
              <w:t>pandemia del COVID-19 y las desigualdades que ha exacerbado. Para lograrlo, se necesita un</w:t>
            </w:r>
            <w:r>
              <w:rPr>
                <w:rFonts w:ascii="Arial" w:hAnsi="Arial" w:cs="Arial"/>
                <w:color w:val="000000"/>
                <w:sz w:val="20"/>
                <w:szCs w:val="20"/>
              </w:rPr>
              <w:t xml:space="preserve"> </w:t>
            </w:r>
            <w:r w:rsidRPr="00CB7FEF">
              <w:rPr>
                <w:rFonts w:ascii="Arial" w:hAnsi="Arial" w:cs="Arial"/>
                <w:color w:val="000000"/>
                <w:sz w:val="20"/>
                <w:szCs w:val="20"/>
              </w:rPr>
              <w:t>enfoque holístico que abarque todos los tipos de AEA (formal, no formal e informal), así como</w:t>
            </w:r>
            <w:r>
              <w:rPr>
                <w:rFonts w:ascii="Arial" w:hAnsi="Arial" w:cs="Arial"/>
                <w:color w:val="000000"/>
                <w:sz w:val="20"/>
                <w:szCs w:val="20"/>
              </w:rPr>
              <w:t xml:space="preserve"> </w:t>
            </w:r>
            <w:r w:rsidRPr="00CB7FEF">
              <w:rPr>
                <w:rFonts w:ascii="Arial" w:hAnsi="Arial" w:cs="Arial"/>
                <w:color w:val="000000"/>
                <w:sz w:val="20"/>
                <w:szCs w:val="20"/>
              </w:rPr>
              <w:t>todos los sectores y ámbitos, los distintos lugares de aprendizaje y los diversos grupos de</w:t>
            </w:r>
            <w:r>
              <w:rPr>
                <w:rFonts w:ascii="Arial" w:hAnsi="Arial" w:cs="Arial"/>
                <w:color w:val="000000"/>
                <w:sz w:val="20"/>
                <w:szCs w:val="20"/>
              </w:rPr>
              <w:t xml:space="preserve"> </w:t>
            </w:r>
            <w:r w:rsidRPr="00CB7FEF">
              <w:rPr>
                <w:rFonts w:ascii="Arial" w:hAnsi="Arial" w:cs="Arial"/>
                <w:color w:val="000000"/>
                <w:sz w:val="20"/>
                <w:szCs w:val="20"/>
              </w:rPr>
              <w:lastRenderedPageBreak/>
              <w:t>educandos. Por lo tanto, es necesario crear un entorno de aprendizaje en el que la educación</w:t>
            </w:r>
            <w:r>
              <w:rPr>
                <w:rFonts w:ascii="Arial" w:hAnsi="Arial" w:cs="Arial"/>
                <w:color w:val="000000"/>
                <w:sz w:val="20"/>
                <w:szCs w:val="20"/>
              </w:rPr>
              <w:t xml:space="preserve"> </w:t>
            </w:r>
            <w:r w:rsidRPr="00CB7FEF">
              <w:rPr>
                <w:rFonts w:ascii="Arial" w:hAnsi="Arial" w:cs="Arial"/>
                <w:color w:val="000000"/>
                <w:sz w:val="20"/>
                <w:szCs w:val="20"/>
              </w:rPr>
              <w:t>y el aprendizaje para toda la vida de jóvenes y mayores, se establezcan como un esfuerzo</w:t>
            </w:r>
            <w:r>
              <w:rPr>
                <w:rFonts w:ascii="Arial" w:hAnsi="Arial" w:cs="Arial"/>
                <w:color w:val="000000"/>
                <w:sz w:val="20"/>
                <w:szCs w:val="20"/>
              </w:rPr>
              <w:t xml:space="preserve"> </w:t>
            </w:r>
            <w:r w:rsidRPr="00CB7FEF">
              <w:rPr>
                <w:rFonts w:ascii="Arial" w:hAnsi="Arial" w:cs="Arial"/>
                <w:color w:val="000000"/>
                <w:sz w:val="20"/>
                <w:szCs w:val="20"/>
              </w:rPr>
              <w:t>público que sirva no sólo al mundo laboral, sino también al bienestar individual y al bien</w:t>
            </w:r>
            <w:r>
              <w:rPr>
                <w:rFonts w:ascii="Arial" w:hAnsi="Arial" w:cs="Arial"/>
                <w:color w:val="000000"/>
                <w:sz w:val="20"/>
                <w:szCs w:val="20"/>
              </w:rPr>
              <w:t xml:space="preserve"> </w:t>
            </w:r>
            <w:r w:rsidRPr="00CB7FEF">
              <w:rPr>
                <w:rFonts w:ascii="Arial" w:hAnsi="Arial" w:cs="Arial"/>
                <w:color w:val="000000"/>
                <w:sz w:val="20"/>
                <w:szCs w:val="20"/>
              </w:rPr>
              <w:t>común.</w:t>
            </w:r>
          </w:p>
        </w:tc>
        <w:tc>
          <w:tcPr>
            <w:tcW w:w="2126" w:type="dxa"/>
          </w:tcPr>
          <w:p w:rsidR="008803F0" w:rsidRPr="008803F0" w:rsidRDefault="008803F0" w:rsidP="008803F0">
            <w:pPr>
              <w:autoSpaceDE w:val="0"/>
              <w:autoSpaceDN w:val="0"/>
              <w:adjustRightInd w:val="0"/>
              <w:jc w:val="both"/>
              <w:rPr>
                <w:rFonts w:ascii="Arial" w:hAnsi="Arial" w:cs="Arial"/>
                <w:b/>
                <w:bCs/>
                <w:color w:val="0000CC"/>
                <w:sz w:val="20"/>
                <w:szCs w:val="20"/>
              </w:rPr>
            </w:pPr>
            <w:r w:rsidRPr="008803F0">
              <w:rPr>
                <w:rFonts w:ascii="Arial" w:hAnsi="Arial" w:cs="Arial"/>
                <w:b/>
                <w:bCs/>
                <w:color w:val="0000CC"/>
                <w:sz w:val="20"/>
                <w:szCs w:val="20"/>
              </w:rPr>
              <w:lastRenderedPageBreak/>
              <w:t>SECCIÓN II: PRINCIPIOS Y ÁREAS</w:t>
            </w:r>
            <w:r>
              <w:rPr>
                <w:rFonts w:ascii="Arial" w:hAnsi="Arial" w:cs="Arial"/>
                <w:b/>
                <w:bCs/>
                <w:color w:val="0000CC"/>
                <w:sz w:val="20"/>
                <w:szCs w:val="20"/>
              </w:rPr>
              <w:t xml:space="preserve"> PRIORITARIAS</w:t>
            </w:r>
            <w:r w:rsidRPr="008803F0">
              <w:rPr>
                <w:rFonts w:ascii="Arial" w:hAnsi="Arial" w:cs="Arial"/>
                <w:b/>
                <w:bCs/>
                <w:color w:val="0000CC"/>
                <w:sz w:val="20"/>
                <w:szCs w:val="20"/>
              </w:rPr>
              <w:t xml:space="preserve"> </w:t>
            </w:r>
          </w:p>
          <w:p w:rsidR="008803F0" w:rsidRDefault="008803F0" w:rsidP="00DD69B0">
            <w:pPr>
              <w:autoSpaceDE w:val="0"/>
              <w:autoSpaceDN w:val="0"/>
              <w:adjustRightInd w:val="0"/>
              <w:jc w:val="both"/>
              <w:rPr>
                <w:rFonts w:ascii="Arial" w:hAnsi="Arial" w:cs="Arial"/>
                <w:bCs/>
                <w:color w:val="000000"/>
                <w:sz w:val="20"/>
                <w:szCs w:val="20"/>
              </w:rPr>
            </w:pPr>
          </w:p>
          <w:p w:rsidR="008803F0" w:rsidRDefault="008803F0" w:rsidP="00552BCF">
            <w:pPr>
              <w:autoSpaceDE w:val="0"/>
              <w:autoSpaceDN w:val="0"/>
              <w:adjustRightInd w:val="0"/>
              <w:spacing w:line="276" w:lineRule="auto"/>
              <w:jc w:val="both"/>
              <w:rPr>
                <w:rFonts w:ascii="Arial" w:hAnsi="Arial" w:cs="Arial"/>
                <w:bCs/>
                <w:color w:val="000000"/>
                <w:sz w:val="20"/>
                <w:szCs w:val="20"/>
              </w:rPr>
            </w:pPr>
            <w:r w:rsidRPr="008803F0">
              <w:rPr>
                <w:rFonts w:ascii="Arial" w:hAnsi="Arial" w:cs="Arial"/>
                <w:bCs/>
                <w:color w:val="000000"/>
                <w:sz w:val="20"/>
                <w:szCs w:val="20"/>
              </w:rPr>
              <w:t>¿Abarca el anteproyecto en materia de principios y áreas prioritarias los retos emergentes y las nuevas oportunidades para el AEA dentro de una perspectiva de aprendizaje a lo largo de toda la vida?</w:t>
            </w:r>
            <w:r>
              <w:rPr>
                <w:rFonts w:ascii="Arial" w:hAnsi="Arial" w:cs="Arial"/>
                <w:bCs/>
                <w:color w:val="000000"/>
                <w:sz w:val="20"/>
                <w:szCs w:val="20"/>
              </w:rPr>
              <w:t xml:space="preserve"> Si/No</w:t>
            </w:r>
          </w:p>
          <w:p w:rsid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AC1681" w:rsidRDefault="008803F0" w:rsidP="00552BCF">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 xml:space="preserve">Si la respuesta es NO: </w:t>
            </w:r>
            <w:r w:rsidRPr="008803F0">
              <w:rPr>
                <w:rFonts w:ascii="Arial" w:hAnsi="Arial" w:cs="Arial"/>
                <w:bCs/>
                <w:color w:val="000000"/>
                <w:sz w:val="20"/>
                <w:szCs w:val="20"/>
              </w:rPr>
              <w:t>¿Qué elementos deberían añadirse a los principios y a las áreas prioritarias? ¿Por qué son importantes estas incorporaciones?</w:t>
            </w:r>
          </w:p>
        </w:tc>
        <w:tc>
          <w:tcPr>
            <w:tcW w:w="4532" w:type="dxa"/>
          </w:tcPr>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552BCF">
            <w:pPr>
              <w:autoSpaceDE w:val="0"/>
              <w:autoSpaceDN w:val="0"/>
              <w:adjustRightInd w:val="0"/>
              <w:spacing w:line="276" w:lineRule="auto"/>
              <w:jc w:val="both"/>
              <w:rPr>
                <w:rFonts w:ascii="Arial" w:hAnsi="Arial" w:cs="Arial"/>
                <w:bCs/>
                <w:color w:val="000000"/>
                <w:sz w:val="20"/>
                <w:szCs w:val="20"/>
              </w:rPr>
            </w:pPr>
            <w:r w:rsidRPr="00552BCF">
              <w:rPr>
                <w:rFonts w:ascii="Arial" w:hAnsi="Arial" w:cs="Arial"/>
                <w:bCs/>
                <w:color w:val="000000"/>
                <w:sz w:val="20"/>
                <w:szCs w:val="20"/>
              </w:rPr>
              <w:t>En  tiempos actuales, requerimos una EPJA EN, DE Y PARA LA VIDA, incluyente, en armonía con la naturaleza, antipatriarcal, descolonizadora y antirracista, orientada a la participación ciudadana, protección de la salud, trabajo digno, seguridad alimentaria y, producción, apropiación y uso del conocimiento de toda la población</w:t>
            </w:r>
            <w:r w:rsidR="002E04A7">
              <w:rPr>
                <w:rFonts w:ascii="Arial" w:hAnsi="Arial" w:cs="Arial"/>
                <w:bCs/>
                <w:color w:val="000000"/>
                <w:sz w:val="20"/>
                <w:szCs w:val="20"/>
              </w:rPr>
              <w:t>,</w:t>
            </w:r>
            <w:r w:rsidRPr="00552BCF">
              <w:rPr>
                <w:rFonts w:ascii="Arial" w:hAnsi="Arial" w:cs="Arial"/>
                <w:bCs/>
                <w:color w:val="000000"/>
                <w:sz w:val="20"/>
                <w:szCs w:val="20"/>
              </w:rPr>
              <w:t xml:space="preserve"> para </w:t>
            </w:r>
            <w:r w:rsidR="002E04A7">
              <w:rPr>
                <w:rFonts w:ascii="Arial" w:hAnsi="Arial" w:cs="Arial"/>
                <w:bCs/>
                <w:color w:val="000000"/>
                <w:sz w:val="20"/>
                <w:szCs w:val="20"/>
              </w:rPr>
              <w:t xml:space="preserve">desde la educación popular </w:t>
            </w:r>
            <w:r w:rsidRPr="00552BCF">
              <w:rPr>
                <w:rFonts w:ascii="Arial" w:hAnsi="Arial" w:cs="Arial"/>
                <w:bCs/>
                <w:color w:val="000000"/>
                <w:sz w:val="20"/>
                <w:szCs w:val="20"/>
              </w:rPr>
              <w:t>contribuir a la transformación de las personas y la construcción de una so</w:t>
            </w:r>
            <w:r>
              <w:rPr>
                <w:rFonts w:ascii="Arial" w:hAnsi="Arial" w:cs="Arial"/>
                <w:bCs/>
                <w:color w:val="000000"/>
                <w:sz w:val="20"/>
                <w:szCs w:val="20"/>
              </w:rPr>
              <w:t xml:space="preserve">ciedad  justa y democrática. </w:t>
            </w:r>
          </w:p>
          <w:p w:rsidR="00552BCF" w:rsidRDefault="00552BCF" w:rsidP="00552BCF">
            <w:pPr>
              <w:autoSpaceDE w:val="0"/>
              <w:autoSpaceDN w:val="0"/>
              <w:adjustRightInd w:val="0"/>
              <w:spacing w:line="276" w:lineRule="auto"/>
              <w:jc w:val="both"/>
              <w:rPr>
                <w:rFonts w:ascii="Arial" w:hAnsi="Arial" w:cs="Arial"/>
                <w:bCs/>
                <w:color w:val="000000"/>
                <w:sz w:val="20"/>
                <w:szCs w:val="20"/>
              </w:rPr>
            </w:pPr>
          </w:p>
          <w:p w:rsidR="00552BCF" w:rsidRDefault="00552BCF" w:rsidP="00552BCF">
            <w:pPr>
              <w:autoSpaceDE w:val="0"/>
              <w:autoSpaceDN w:val="0"/>
              <w:adjustRightInd w:val="0"/>
              <w:spacing w:line="276" w:lineRule="auto"/>
              <w:jc w:val="both"/>
              <w:rPr>
                <w:rFonts w:ascii="Arial" w:hAnsi="Arial" w:cs="Arial"/>
                <w:bCs/>
                <w:color w:val="000000"/>
                <w:sz w:val="20"/>
                <w:szCs w:val="20"/>
              </w:rPr>
            </w:pPr>
            <w:r w:rsidRPr="00552BCF">
              <w:rPr>
                <w:rFonts w:ascii="Arial" w:hAnsi="Arial" w:cs="Arial"/>
                <w:bCs/>
                <w:color w:val="000000"/>
                <w:sz w:val="20"/>
                <w:szCs w:val="20"/>
              </w:rPr>
              <w:t>Asumir a la EPJA COMO UN DERECHO HUMANO FUNDAMENTAL A LO LARGO Y ANCHO DE LA VIDA, exigible, irrenunciable, indivisible y auto-determinado para crecer en dignidad y ejercicio de derechos de todos, que responda a contextos cambiantes y modalidades alternativas.</w:t>
            </w:r>
          </w:p>
          <w:p w:rsidR="00552BCF" w:rsidRDefault="00552BCF"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r w:rsidRPr="008803F0">
              <w:rPr>
                <w:rFonts w:ascii="Arial" w:hAnsi="Arial" w:cs="Arial"/>
                <w:bCs/>
                <w:color w:val="000000"/>
                <w:sz w:val="20"/>
                <w:szCs w:val="20"/>
              </w:rPr>
              <w:t>(al principio) Se deben identificar claramente los siguie</w:t>
            </w:r>
            <w:r w:rsidR="00552BCF">
              <w:rPr>
                <w:rFonts w:ascii="Arial" w:hAnsi="Arial" w:cs="Arial"/>
                <w:bCs/>
                <w:color w:val="000000"/>
                <w:sz w:val="20"/>
                <w:szCs w:val="20"/>
              </w:rPr>
              <w:t>ntes principios La EPJA</w:t>
            </w:r>
            <w:r w:rsidRPr="008803F0">
              <w:rPr>
                <w:rFonts w:ascii="Arial" w:hAnsi="Arial" w:cs="Arial"/>
                <w:bCs/>
                <w:color w:val="000000"/>
                <w:sz w:val="20"/>
                <w:szCs w:val="20"/>
              </w:rPr>
              <w:t xml:space="preserve"> ba</w:t>
            </w:r>
            <w:r w:rsidR="00552BCF">
              <w:rPr>
                <w:rFonts w:ascii="Arial" w:hAnsi="Arial" w:cs="Arial"/>
                <w:bCs/>
                <w:color w:val="000000"/>
                <w:sz w:val="20"/>
                <w:szCs w:val="20"/>
              </w:rPr>
              <w:t>sada en los derechos; centrada en el estudiante;  participativa, inclusiva</w:t>
            </w:r>
            <w:r w:rsidRPr="008803F0">
              <w:rPr>
                <w:rFonts w:ascii="Arial" w:hAnsi="Arial" w:cs="Arial"/>
                <w:bCs/>
                <w:color w:val="000000"/>
                <w:sz w:val="20"/>
                <w:szCs w:val="20"/>
              </w:rPr>
              <w:t xml:space="preserve"> y emancipador</w:t>
            </w:r>
            <w:r w:rsidR="00552BCF">
              <w:rPr>
                <w:rFonts w:ascii="Arial" w:hAnsi="Arial" w:cs="Arial"/>
                <w:bCs/>
                <w:color w:val="000000"/>
                <w:sz w:val="20"/>
                <w:szCs w:val="20"/>
              </w:rPr>
              <w:t>a;</w:t>
            </w:r>
            <w:r w:rsidRPr="008803F0">
              <w:rPr>
                <w:rFonts w:ascii="Arial" w:hAnsi="Arial" w:cs="Arial"/>
                <w:bCs/>
                <w:color w:val="000000"/>
                <w:sz w:val="20"/>
                <w:szCs w:val="20"/>
              </w:rPr>
              <w:t xml:space="preserve"> para la justicia, el bienestar y el cambio (tal como lo identifican la Comisión Internacional sobre el Futuro de la Educación y la Campaña de AEA)</w:t>
            </w: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r w:rsidRPr="008803F0">
              <w:rPr>
                <w:rFonts w:ascii="Arial" w:hAnsi="Arial" w:cs="Arial"/>
                <w:bCs/>
                <w:color w:val="000000"/>
                <w:sz w:val="20"/>
                <w:szCs w:val="20"/>
              </w:rPr>
              <w:lastRenderedPageBreak/>
              <w:t>(13) - Hay que añadir que la brecha de género sigue siendo la misma a pesar de que las tasas de alfabetización han aumentado.</w:t>
            </w: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r w:rsidRPr="008803F0">
              <w:rPr>
                <w:rFonts w:ascii="Arial" w:hAnsi="Arial" w:cs="Arial"/>
                <w:bCs/>
                <w:color w:val="000000"/>
                <w:sz w:val="20"/>
                <w:szCs w:val="20"/>
              </w:rPr>
              <w:t xml:space="preserve">(14) </w:t>
            </w:r>
            <w:r w:rsidR="00552BCF">
              <w:rPr>
                <w:rFonts w:ascii="Arial" w:hAnsi="Arial" w:cs="Arial"/>
                <w:bCs/>
                <w:color w:val="000000"/>
                <w:sz w:val="20"/>
                <w:szCs w:val="20"/>
              </w:rPr>
              <w:t>–</w:t>
            </w:r>
            <w:r w:rsidRPr="008803F0">
              <w:rPr>
                <w:rFonts w:ascii="Arial" w:hAnsi="Arial" w:cs="Arial"/>
                <w:bCs/>
                <w:color w:val="000000"/>
                <w:sz w:val="20"/>
                <w:szCs w:val="20"/>
              </w:rPr>
              <w:t xml:space="preserve"> </w:t>
            </w:r>
            <w:r w:rsidR="00552BCF" w:rsidRPr="00552BCF">
              <w:rPr>
                <w:rFonts w:ascii="Arial" w:hAnsi="Arial" w:cs="Arial"/>
                <w:bCs/>
                <w:color w:val="000000"/>
                <w:sz w:val="20"/>
                <w:szCs w:val="20"/>
              </w:rPr>
              <w:t xml:space="preserve">LA EPJA DEBE SER PRODUCTIVA, TÉCNICA Y TERRITORIAL, orientada a la producción material e intelectual, al trabajo creativo y creador, a la dinamización de las economías populares, solidarias y de las regiones; en armonía con la naturaleza y sistemas de vida. </w:t>
            </w:r>
            <w:r w:rsidRPr="008803F0">
              <w:rPr>
                <w:rFonts w:ascii="Arial" w:hAnsi="Arial" w:cs="Arial"/>
                <w:bCs/>
                <w:color w:val="000000"/>
                <w:sz w:val="20"/>
                <w:szCs w:val="20"/>
              </w:rPr>
              <w:t>El aprendizaje personalizado en línea no es algo a lo que los países deban comprometerse; sería mejor incluir: orientación profesional y otro tipo de apoyo al aprendizaje que permita el empleo, el trabajo decente y el desarrollo de la carrera.</w:t>
            </w:r>
            <w:r w:rsidR="00552BCF">
              <w:rPr>
                <w:rFonts w:ascii="Arial" w:hAnsi="Arial" w:cs="Arial"/>
                <w:bCs/>
                <w:color w:val="000000"/>
                <w:sz w:val="20"/>
                <w:szCs w:val="20"/>
              </w:rPr>
              <w:t xml:space="preserve"> </w:t>
            </w:r>
          </w:p>
          <w:p w:rsidR="008803F0" w:rsidRPr="008803F0" w:rsidRDefault="008803F0" w:rsidP="00552BCF">
            <w:pPr>
              <w:autoSpaceDE w:val="0"/>
              <w:autoSpaceDN w:val="0"/>
              <w:adjustRightInd w:val="0"/>
              <w:spacing w:line="276" w:lineRule="auto"/>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552BCF" w:rsidRDefault="00552BCF" w:rsidP="00552BCF">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 xml:space="preserve">(15) - </w:t>
            </w:r>
            <w:r w:rsidRPr="00552BCF">
              <w:rPr>
                <w:rFonts w:ascii="Arial" w:hAnsi="Arial" w:cs="Arial"/>
                <w:bCs/>
                <w:color w:val="000000"/>
                <w:sz w:val="20"/>
                <w:szCs w:val="20"/>
              </w:rPr>
              <w:t xml:space="preserve">SE DEBE GARANTIZAR EL DERECHO AL USO Y CONECTIVIDAD UNIVERSAL Y GRATUITA DE LAS TICS EN LA EPJA desde la educación popular, evitando el incremento de las desigualdades socio-educativas, culturales y comunicacionales, superando su uso </w:t>
            </w:r>
            <w:r w:rsidRPr="00552BCF">
              <w:rPr>
                <w:rFonts w:ascii="Arial" w:hAnsi="Arial" w:cs="Arial"/>
                <w:bCs/>
                <w:color w:val="000000"/>
                <w:sz w:val="20"/>
                <w:szCs w:val="20"/>
              </w:rPr>
              <w:lastRenderedPageBreak/>
              <w:t>instrumental y la sobrevaloración de la educación virtual; la educación virtual deben asumirse como complementaria de los procesos presenciales y como factor de enriquecimiento de los aprendizajes.</w:t>
            </w: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Pr="008803F0" w:rsidRDefault="008803F0" w:rsidP="008803F0">
            <w:pPr>
              <w:autoSpaceDE w:val="0"/>
              <w:autoSpaceDN w:val="0"/>
              <w:adjustRightInd w:val="0"/>
              <w:jc w:val="both"/>
              <w:rPr>
                <w:rFonts w:ascii="Arial" w:hAnsi="Arial" w:cs="Arial"/>
                <w:bCs/>
                <w:color w:val="000000"/>
                <w:sz w:val="20"/>
                <w:szCs w:val="20"/>
              </w:rPr>
            </w:pPr>
          </w:p>
          <w:p w:rsidR="008803F0" w:rsidRDefault="008803F0"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8803F0" w:rsidRDefault="008803F0" w:rsidP="008803F0">
            <w:pPr>
              <w:autoSpaceDE w:val="0"/>
              <w:autoSpaceDN w:val="0"/>
              <w:adjustRightInd w:val="0"/>
              <w:jc w:val="both"/>
              <w:rPr>
                <w:rFonts w:ascii="Arial" w:hAnsi="Arial" w:cs="Arial"/>
                <w:bCs/>
                <w:color w:val="000000"/>
                <w:sz w:val="20"/>
                <w:szCs w:val="20"/>
              </w:rPr>
            </w:pPr>
            <w:r w:rsidRPr="008803F0">
              <w:rPr>
                <w:rFonts w:ascii="Arial" w:hAnsi="Arial" w:cs="Arial"/>
                <w:bCs/>
                <w:color w:val="000000"/>
                <w:sz w:val="20"/>
                <w:szCs w:val="20"/>
              </w:rPr>
              <w:t xml:space="preserve">(16) - Habría que añadir que no basta con la necesidad de adaptarse al cambio climático, sino también con el desarrollo de </w:t>
            </w:r>
            <w:proofErr w:type="spellStart"/>
            <w:r w:rsidRPr="008803F0">
              <w:rPr>
                <w:rFonts w:ascii="Arial" w:hAnsi="Arial" w:cs="Arial"/>
                <w:bCs/>
                <w:color w:val="000000"/>
                <w:sz w:val="20"/>
                <w:szCs w:val="20"/>
              </w:rPr>
              <w:t>resiliencia</w:t>
            </w:r>
            <w:proofErr w:type="spellEnd"/>
            <w:r w:rsidRPr="008803F0">
              <w:rPr>
                <w:rFonts w:ascii="Arial" w:hAnsi="Arial" w:cs="Arial"/>
                <w:bCs/>
                <w:color w:val="000000"/>
                <w:sz w:val="20"/>
                <w:szCs w:val="20"/>
              </w:rPr>
              <w:t xml:space="preserve"> y agencia de transformación, más allá del papel reactivo y adaptativo del AEA.</w:t>
            </w:r>
            <w:r w:rsidR="00552BCF">
              <w:rPr>
                <w:rFonts w:ascii="Arial" w:hAnsi="Arial" w:cs="Arial"/>
                <w:bCs/>
                <w:color w:val="000000"/>
                <w:sz w:val="20"/>
                <w:szCs w:val="20"/>
              </w:rPr>
              <w:t xml:space="preserve"> Así como promover un desarrollo una economía en armonía con la naturaleza.</w:t>
            </w: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Default="00552BCF" w:rsidP="008803F0">
            <w:pPr>
              <w:autoSpaceDE w:val="0"/>
              <w:autoSpaceDN w:val="0"/>
              <w:adjustRightInd w:val="0"/>
              <w:jc w:val="both"/>
              <w:rPr>
                <w:rFonts w:ascii="Arial" w:hAnsi="Arial" w:cs="Arial"/>
                <w:bCs/>
                <w:color w:val="000000"/>
                <w:sz w:val="20"/>
                <w:szCs w:val="20"/>
              </w:rPr>
            </w:pPr>
          </w:p>
          <w:p w:rsidR="00552BCF" w:rsidRPr="00AC1681" w:rsidRDefault="00552BCF" w:rsidP="00552BCF">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 xml:space="preserve">(17) - </w:t>
            </w:r>
            <w:r w:rsidRPr="00552BCF">
              <w:rPr>
                <w:rFonts w:ascii="Arial" w:hAnsi="Arial" w:cs="Arial"/>
                <w:bCs/>
                <w:color w:val="000000"/>
                <w:sz w:val="20"/>
                <w:szCs w:val="20"/>
              </w:rPr>
              <w:t>la EPJA no sólo es cuestión de edad es además, y eso es lo fundamental, responde a criterios de diversidad, de relevancia socio-cultural, por lo que en realidad nos referimos a la denominación y enfoque de “Aprendizaje (y mejor Educación) a lo largo (Criterio edad) y a lo ancho (Criterio diversidad y pertinencia) de la vida”.</w:t>
            </w:r>
          </w:p>
        </w:tc>
      </w:tr>
    </w:tbl>
    <w:p w:rsidR="008803F0" w:rsidRDefault="008803F0" w:rsidP="00F46BC9">
      <w:pPr>
        <w:autoSpaceDE w:val="0"/>
        <w:autoSpaceDN w:val="0"/>
        <w:adjustRightInd w:val="0"/>
        <w:spacing w:after="0"/>
        <w:jc w:val="both"/>
        <w:rPr>
          <w:rFonts w:ascii="Arial" w:hAnsi="Arial" w:cs="Arial"/>
          <w:b/>
          <w:bCs/>
          <w:color w:val="000000"/>
          <w:szCs w:val="20"/>
        </w:rPr>
      </w:pPr>
    </w:p>
    <w:p w:rsidR="00DD69B0" w:rsidRPr="00F46BC9" w:rsidRDefault="00DD69B0" w:rsidP="00DD69B0">
      <w:pPr>
        <w:pStyle w:val="Sinespaciado"/>
        <w:rPr>
          <w:b/>
          <w:color w:val="0000CC"/>
        </w:rPr>
      </w:pPr>
      <w:r>
        <w:rPr>
          <w:b/>
          <w:color w:val="0000CC"/>
        </w:rPr>
        <w:t>SECCIÓN III: ACCIONES PARA UNA OFERTA TRANSFORMADORA DE AEA</w:t>
      </w:r>
    </w:p>
    <w:tbl>
      <w:tblPr>
        <w:tblStyle w:val="Tablaconcuadrcula"/>
        <w:tblW w:w="0" w:type="auto"/>
        <w:tblLook w:val="04A0" w:firstRow="1" w:lastRow="0" w:firstColumn="1" w:lastColumn="0" w:noHBand="0" w:noVBand="1"/>
      </w:tblPr>
      <w:tblGrid>
        <w:gridCol w:w="7054"/>
        <w:gridCol w:w="2126"/>
        <w:gridCol w:w="4532"/>
      </w:tblGrid>
      <w:tr w:rsidR="00DD69B0" w:rsidTr="00DD69B0">
        <w:tc>
          <w:tcPr>
            <w:tcW w:w="7054" w:type="dxa"/>
            <w:shd w:val="clear" w:color="auto" w:fill="DBE5F1" w:themeFill="accent1" w:themeFillTint="33"/>
            <w:vAlign w:val="center"/>
          </w:tcPr>
          <w:p w:rsidR="00DD69B0" w:rsidRPr="001E1E49" w:rsidRDefault="00DD69B0" w:rsidP="00DD69B0">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126" w:type="dxa"/>
            <w:shd w:val="clear" w:color="auto" w:fill="DBE5F1" w:themeFill="accent1" w:themeFillTint="33"/>
          </w:tcPr>
          <w:p w:rsidR="00DD69B0" w:rsidRPr="001E1E49" w:rsidRDefault="00DD69B0" w:rsidP="00DD69B0">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4" w:tgtFrame="_blank" w:history="1">
              <w:r w:rsidRPr="001E1E49">
                <w:rPr>
                  <w:rFonts w:ascii="Arial" w:hAnsi="Arial" w:cs="Arial"/>
                  <w:b/>
                  <w:bCs/>
                  <w:color w:val="0000CC"/>
                  <w:sz w:val="20"/>
                  <w:szCs w:val="20"/>
                </w:rPr>
                <w:t>Consulta Pública en línea sobre el anteproyecto del Marco de Acción de Marrakech</w:t>
              </w:r>
            </w:hyperlink>
          </w:p>
        </w:tc>
        <w:tc>
          <w:tcPr>
            <w:tcW w:w="4532" w:type="dxa"/>
            <w:shd w:val="clear" w:color="auto" w:fill="DBE5F1" w:themeFill="accent1" w:themeFillTint="33"/>
            <w:vAlign w:val="center"/>
          </w:tcPr>
          <w:p w:rsidR="00DD69B0" w:rsidRPr="001E1E49" w:rsidRDefault="00DD69B0" w:rsidP="00DD69B0">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 xml:space="preserve">Propuesta de posibles respuestas </w:t>
            </w:r>
          </w:p>
          <w:p w:rsidR="00DD69B0" w:rsidRPr="001E1E49" w:rsidRDefault="00DD69B0" w:rsidP="00DD69B0">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DD69B0" w:rsidRPr="001E1E49" w:rsidRDefault="00DD69B0" w:rsidP="00DD69B0">
            <w:pPr>
              <w:autoSpaceDE w:val="0"/>
              <w:autoSpaceDN w:val="0"/>
              <w:adjustRightInd w:val="0"/>
              <w:jc w:val="center"/>
              <w:rPr>
                <w:rFonts w:ascii="Arial" w:hAnsi="Arial" w:cs="Arial"/>
                <w:b/>
                <w:bCs/>
                <w:color w:val="0000CC"/>
                <w:sz w:val="20"/>
                <w:szCs w:val="20"/>
              </w:rPr>
            </w:pPr>
          </w:p>
        </w:tc>
      </w:tr>
      <w:tr w:rsidR="00DD69B0" w:rsidTr="00DD69B0">
        <w:tc>
          <w:tcPr>
            <w:tcW w:w="7054" w:type="dxa"/>
          </w:tcPr>
          <w:p w:rsidR="00DD69B0" w:rsidRPr="00DD69B0" w:rsidRDefault="00DD69B0" w:rsidP="00DD69B0">
            <w:pPr>
              <w:autoSpaceDE w:val="0"/>
              <w:autoSpaceDN w:val="0"/>
              <w:adjustRightInd w:val="0"/>
              <w:spacing w:line="276" w:lineRule="auto"/>
              <w:jc w:val="both"/>
              <w:rPr>
                <w:rFonts w:ascii="Arial" w:hAnsi="Arial" w:cs="Arial"/>
                <w:b/>
                <w:bCs/>
                <w:color w:val="0000CC"/>
                <w:szCs w:val="20"/>
              </w:rPr>
            </w:pPr>
            <w:r w:rsidRPr="00DD69B0">
              <w:rPr>
                <w:rFonts w:ascii="Arial" w:hAnsi="Arial" w:cs="Arial"/>
                <w:b/>
                <w:bCs/>
                <w:color w:val="0000CC"/>
                <w:szCs w:val="20"/>
              </w:rPr>
              <w:t>Acciones recomendadas para un AEA transformadores</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Establecimiento de marcos y acuerdos de gobernanza</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Reconociendo la necesidad de un contrato social renovado para la educación, nos</w:t>
            </w:r>
            <w:r>
              <w:rPr>
                <w:rFonts w:ascii="Arial" w:hAnsi="Arial" w:cs="Arial"/>
                <w:color w:val="000000"/>
                <w:sz w:val="20"/>
                <w:szCs w:val="20"/>
              </w:rPr>
              <w:t xml:space="preserve"> </w:t>
            </w:r>
            <w:r w:rsidRPr="00CB7FEF">
              <w:rPr>
                <w:rFonts w:ascii="Arial" w:hAnsi="Arial" w:cs="Arial"/>
                <w:color w:val="000000"/>
                <w:sz w:val="20"/>
                <w:szCs w:val="20"/>
              </w:rPr>
              <w:t>comprometemos a tomar medidas para establecer derechos individuales de aprendizaje e</w:t>
            </w:r>
            <w:r>
              <w:rPr>
                <w:rFonts w:ascii="Arial" w:hAnsi="Arial" w:cs="Arial"/>
                <w:color w:val="000000"/>
                <w:sz w:val="20"/>
                <w:szCs w:val="20"/>
              </w:rPr>
              <w:t xml:space="preserve"> </w:t>
            </w:r>
            <w:r w:rsidRPr="00CB7FEF">
              <w:rPr>
                <w:rFonts w:ascii="Arial" w:hAnsi="Arial" w:cs="Arial"/>
                <w:color w:val="000000"/>
                <w:sz w:val="20"/>
                <w:szCs w:val="20"/>
              </w:rPr>
              <w:t>invitamos a la UNESCO a examinar las posibilidades de establecer un derecho al aprendizaje</w:t>
            </w:r>
            <w:r>
              <w:rPr>
                <w:rFonts w:ascii="Arial" w:hAnsi="Arial" w:cs="Arial"/>
                <w:color w:val="000000"/>
                <w:sz w:val="20"/>
                <w:szCs w:val="20"/>
              </w:rPr>
              <w:t xml:space="preserve"> </w:t>
            </w:r>
            <w:r w:rsidRPr="00CB7FEF">
              <w:rPr>
                <w:rFonts w:ascii="Arial" w:hAnsi="Arial" w:cs="Arial"/>
                <w:color w:val="000000"/>
                <w:sz w:val="20"/>
                <w:szCs w:val="20"/>
              </w:rPr>
              <w:t>a lo largo de toda la vida. Este nuevo derecho requerirá una legislación específica, el</w:t>
            </w:r>
            <w:r>
              <w:rPr>
                <w:rFonts w:ascii="Arial" w:hAnsi="Arial" w:cs="Arial"/>
                <w:color w:val="000000"/>
                <w:sz w:val="20"/>
                <w:szCs w:val="20"/>
              </w:rPr>
              <w:t xml:space="preserve"> </w:t>
            </w:r>
            <w:r w:rsidRPr="00CB7FEF">
              <w:rPr>
                <w:rFonts w:ascii="Arial" w:hAnsi="Arial" w:cs="Arial"/>
                <w:color w:val="000000"/>
                <w:sz w:val="20"/>
                <w:szCs w:val="20"/>
              </w:rPr>
              <w:t>desarrollo y la implementación de políticas integrales, con perspectiva de género, y</w:t>
            </w:r>
            <w:r>
              <w:rPr>
                <w:rFonts w:ascii="Arial" w:hAnsi="Arial" w:cs="Arial"/>
                <w:color w:val="000000"/>
                <w:sz w:val="20"/>
                <w:szCs w:val="20"/>
              </w:rPr>
              <w:t xml:space="preserve"> </w:t>
            </w:r>
            <w:r w:rsidRPr="00CB7FEF">
              <w:rPr>
                <w:rFonts w:ascii="Arial" w:hAnsi="Arial" w:cs="Arial"/>
                <w:color w:val="000000"/>
                <w:sz w:val="20"/>
                <w:szCs w:val="20"/>
              </w:rPr>
              <w:t>financiamiento suficiente. La elaboración de políticas orientadas al derecho del aprendizaje</w:t>
            </w:r>
            <w:r>
              <w:rPr>
                <w:rFonts w:ascii="Arial" w:hAnsi="Arial" w:cs="Arial"/>
                <w:color w:val="000000"/>
                <w:sz w:val="20"/>
                <w:szCs w:val="20"/>
              </w:rPr>
              <w:t xml:space="preserve"> </w:t>
            </w:r>
            <w:r w:rsidRPr="00CB7FEF">
              <w:rPr>
                <w:rFonts w:ascii="Arial" w:hAnsi="Arial" w:cs="Arial"/>
                <w:color w:val="000000"/>
                <w:sz w:val="20"/>
                <w:szCs w:val="20"/>
              </w:rPr>
              <w:t>a lo largo de toda la vida debe ser dirigida por los gobiernos nacionales, creando las</w:t>
            </w:r>
            <w:r>
              <w:rPr>
                <w:rFonts w:ascii="Arial" w:hAnsi="Arial" w:cs="Arial"/>
                <w:color w:val="000000"/>
                <w:sz w:val="20"/>
                <w:szCs w:val="20"/>
              </w:rPr>
              <w:t xml:space="preserve"> </w:t>
            </w:r>
            <w:r w:rsidRPr="00CB7FEF">
              <w:rPr>
                <w:rFonts w:ascii="Arial" w:hAnsi="Arial" w:cs="Arial"/>
                <w:color w:val="000000"/>
                <w:sz w:val="20"/>
                <w:szCs w:val="20"/>
              </w:rPr>
              <w:t>condiciones para una cultura de aprendizaje a lo largo de toda la vida adaptada a cada Estado</w:t>
            </w:r>
            <w:r>
              <w:rPr>
                <w:rFonts w:ascii="Arial" w:hAnsi="Arial" w:cs="Arial"/>
                <w:color w:val="000000"/>
                <w:sz w:val="20"/>
                <w:szCs w:val="20"/>
              </w:rPr>
              <w:t xml:space="preserve"> </w:t>
            </w:r>
            <w:r w:rsidRPr="00CB7FEF">
              <w:rPr>
                <w:rFonts w:ascii="Arial" w:hAnsi="Arial" w:cs="Arial"/>
                <w:color w:val="000000"/>
                <w:sz w:val="20"/>
                <w:szCs w:val="20"/>
              </w:rPr>
              <w:t>miembro.</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CB7FEF">
              <w:rPr>
                <w:rFonts w:ascii="Arial" w:hAnsi="Arial" w:cs="Arial"/>
                <w:color w:val="000000"/>
                <w:sz w:val="20"/>
                <w:szCs w:val="20"/>
              </w:rPr>
              <w:t>Nos comprometemos a apoyar la creación de plataformas nacionales multisectoriales para la</w:t>
            </w:r>
            <w:r>
              <w:rPr>
                <w:rFonts w:ascii="Arial" w:hAnsi="Arial" w:cs="Arial"/>
                <w:color w:val="000000"/>
                <w:sz w:val="20"/>
                <w:szCs w:val="20"/>
              </w:rPr>
              <w:t xml:space="preserve"> </w:t>
            </w:r>
            <w:r w:rsidRPr="00CB7FEF">
              <w:rPr>
                <w:rFonts w:ascii="Arial" w:hAnsi="Arial" w:cs="Arial"/>
                <w:color w:val="000000"/>
                <w:sz w:val="20"/>
                <w:szCs w:val="20"/>
              </w:rPr>
              <w:t>gobernanza del AEA, con responsabilidad compartida en el suministro de la educación y en la</w:t>
            </w:r>
            <w:r>
              <w:rPr>
                <w:rFonts w:ascii="Arial" w:hAnsi="Arial" w:cs="Arial"/>
                <w:color w:val="000000"/>
                <w:sz w:val="20"/>
                <w:szCs w:val="20"/>
              </w:rPr>
              <w:t xml:space="preserve"> </w:t>
            </w:r>
            <w:r w:rsidRPr="00CB7FEF">
              <w:rPr>
                <w:rFonts w:ascii="Arial" w:hAnsi="Arial" w:cs="Arial"/>
                <w:color w:val="000000"/>
                <w:sz w:val="20"/>
                <w:szCs w:val="20"/>
              </w:rPr>
              <w:t>facilitación de estos espacios. Los actores incluyen los ministerios gubernamentales</w:t>
            </w:r>
            <w:r>
              <w:rPr>
                <w:rFonts w:ascii="Arial" w:hAnsi="Arial" w:cs="Arial"/>
                <w:color w:val="000000"/>
                <w:sz w:val="20"/>
                <w:szCs w:val="20"/>
              </w:rPr>
              <w:t xml:space="preserve"> </w:t>
            </w:r>
            <w:r w:rsidRPr="00CB7FEF">
              <w:rPr>
                <w:rFonts w:ascii="Arial" w:hAnsi="Arial" w:cs="Arial"/>
                <w:color w:val="000000"/>
                <w:sz w:val="20"/>
                <w:szCs w:val="20"/>
              </w:rPr>
              <w:t>pertinentes, las organizaciones de la sociedad civil, el sector privado, la academia y los</w:t>
            </w:r>
            <w:r>
              <w:rPr>
                <w:rFonts w:ascii="Arial" w:hAnsi="Arial" w:cs="Arial"/>
                <w:color w:val="000000"/>
                <w:sz w:val="20"/>
                <w:szCs w:val="20"/>
              </w:rPr>
              <w:t xml:space="preserve"> </w:t>
            </w:r>
            <w:r w:rsidRPr="00CB7FEF">
              <w:rPr>
                <w:rFonts w:ascii="Arial" w:hAnsi="Arial" w:cs="Arial"/>
                <w:color w:val="000000"/>
                <w:sz w:val="20"/>
                <w:szCs w:val="20"/>
              </w:rPr>
              <w:t>proveedores de AEA para facilitar la coordinación entre sectores y organismos, desarrollar</w:t>
            </w:r>
            <w:r>
              <w:rPr>
                <w:rFonts w:ascii="Arial" w:hAnsi="Arial" w:cs="Arial"/>
                <w:color w:val="000000"/>
                <w:sz w:val="20"/>
                <w:szCs w:val="20"/>
              </w:rPr>
              <w:t xml:space="preserve"> </w:t>
            </w:r>
            <w:r w:rsidRPr="00CB7FEF">
              <w:rPr>
                <w:rFonts w:ascii="Arial" w:hAnsi="Arial" w:cs="Arial"/>
                <w:color w:val="000000"/>
                <w:sz w:val="20"/>
                <w:szCs w:val="20"/>
              </w:rPr>
              <w:t>políticas inclusivas de aprendizaje a lo largo de toda la vida y mejorar el acceso al aprendizaje,</w:t>
            </w:r>
            <w:r>
              <w:rPr>
                <w:rFonts w:ascii="Arial" w:hAnsi="Arial" w:cs="Arial"/>
                <w:color w:val="000000"/>
                <w:sz w:val="20"/>
                <w:szCs w:val="20"/>
              </w:rPr>
              <w:t xml:space="preserve"> </w:t>
            </w:r>
            <w:r w:rsidRPr="00CB7FEF">
              <w:rPr>
                <w:rFonts w:ascii="Arial" w:hAnsi="Arial" w:cs="Arial"/>
                <w:color w:val="000000"/>
                <w:sz w:val="20"/>
                <w:szCs w:val="20"/>
              </w:rPr>
              <w:t>incluso mediante el reconocimiento de una amplia gama de habilidades y competencias</w:t>
            </w:r>
            <w:r>
              <w:rPr>
                <w:rFonts w:ascii="Arial" w:hAnsi="Arial" w:cs="Arial"/>
                <w:color w:val="000000"/>
                <w:sz w:val="20"/>
                <w:szCs w:val="20"/>
              </w:rPr>
              <w:t xml:space="preserve"> </w:t>
            </w:r>
            <w:r w:rsidRPr="00CB7FEF">
              <w:rPr>
                <w:rFonts w:ascii="Arial" w:hAnsi="Arial" w:cs="Arial"/>
                <w:color w:val="000000"/>
                <w:sz w:val="20"/>
                <w:szCs w:val="20"/>
              </w:rPr>
              <w:t xml:space="preserve">como resultados del aprendizaje. Un mejor acceso y </w:t>
            </w:r>
            <w:r w:rsidRPr="00CB7FEF">
              <w:rPr>
                <w:rFonts w:ascii="Arial" w:hAnsi="Arial" w:cs="Arial"/>
                <w:color w:val="000000"/>
                <w:sz w:val="20"/>
                <w:szCs w:val="20"/>
              </w:rPr>
              <w:lastRenderedPageBreak/>
              <w:t>reconocimiento de los programas</w:t>
            </w:r>
            <w:r>
              <w:rPr>
                <w:rFonts w:ascii="Arial" w:hAnsi="Arial" w:cs="Arial"/>
                <w:color w:val="000000"/>
                <w:sz w:val="20"/>
                <w:szCs w:val="20"/>
              </w:rPr>
              <w:t xml:space="preserve"> </w:t>
            </w:r>
            <w:r w:rsidRPr="00CB7FEF">
              <w:rPr>
                <w:rFonts w:ascii="Arial" w:hAnsi="Arial" w:cs="Arial"/>
                <w:color w:val="000000"/>
                <w:sz w:val="20"/>
                <w:szCs w:val="20"/>
              </w:rPr>
              <w:t>animará a los jóvenes, a los adultos y a los ciudadanos mayores a participar en el aprendizaje.</w:t>
            </w:r>
            <w:r>
              <w:rPr>
                <w:rFonts w:ascii="Arial" w:hAnsi="Arial" w:cs="Arial"/>
                <w:color w:val="000000"/>
                <w:sz w:val="20"/>
                <w:szCs w:val="20"/>
              </w:rPr>
              <w:t xml:space="preserve"> </w:t>
            </w:r>
            <w:r w:rsidRPr="00CB7FEF">
              <w:rPr>
                <w:rFonts w:ascii="Arial" w:hAnsi="Arial" w:cs="Arial"/>
                <w:color w:val="000000"/>
                <w:sz w:val="20"/>
                <w:szCs w:val="20"/>
              </w:rPr>
              <w:t>También subrayamos la importancia del diálogo con los interlocutores sociales, que</w:t>
            </w:r>
            <w:r>
              <w:rPr>
                <w:rFonts w:ascii="Arial" w:hAnsi="Arial" w:cs="Arial"/>
                <w:color w:val="000000"/>
                <w:sz w:val="20"/>
                <w:szCs w:val="20"/>
              </w:rPr>
              <w:t xml:space="preserve"> constituye una </w:t>
            </w:r>
            <w:r w:rsidRPr="00CB7FEF">
              <w:rPr>
                <w:rFonts w:ascii="Arial" w:hAnsi="Arial" w:cs="Arial"/>
                <w:color w:val="000000"/>
                <w:sz w:val="20"/>
                <w:szCs w:val="20"/>
              </w:rPr>
              <w:t>dimensión crítica de la gobernanza en muchos países, especialmente en lo</w:t>
            </w:r>
            <w:r>
              <w:rPr>
                <w:rFonts w:ascii="Arial" w:hAnsi="Arial" w:cs="Arial"/>
                <w:color w:val="000000"/>
                <w:sz w:val="20"/>
                <w:szCs w:val="20"/>
              </w:rPr>
              <w:t xml:space="preserve"> </w:t>
            </w:r>
            <w:r w:rsidRPr="00CB7FEF">
              <w:rPr>
                <w:rFonts w:ascii="Arial" w:hAnsi="Arial" w:cs="Arial"/>
                <w:color w:val="000000"/>
                <w:sz w:val="20"/>
                <w:szCs w:val="20"/>
              </w:rPr>
              <w:t>que respecta al desarrollo profesional continuo.</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Rediseño de sistemas para el AEA</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Conscientes de la creciente diversidad de proveedores de AEA, resultante de la aparición de</w:t>
            </w:r>
            <w:r>
              <w:rPr>
                <w:rFonts w:ascii="Arial" w:hAnsi="Arial" w:cs="Arial"/>
                <w:color w:val="000000"/>
                <w:sz w:val="20"/>
                <w:szCs w:val="20"/>
              </w:rPr>
              <w:t xml:space="preserve"> </w:t>
            </w:r>
            <w:r w:rsidRPr="00CB7FEF">
              <w:rPr>
                <w:rFonts w:ascii="Arial" w:hAnsi="Arial" w:cs="Arial"/>
                <w:color w:val="000000"/>
                <w:sz w:val="20"/>
                <w:szCs w:val="20"/>
              </w:rPr>
              <w:t>complejos ecosistemas de aprendizaje, nos comprometemos a fortalecer el papel de los</w:t>
            </w:r>
            <w:r>
              <w:rPr>
                <w:rFonts w:ascii="Arial" w:hAnsi="Arial" w:cs="Arial"/>
                <w:color w:val="000000"/>
                <w:sz w:val="20"/>
                <w:szCs w:val="20"/>
              </w:rPr>
              <w:t xml:space="preserve"> </w:t>
            </w:r>
            <w:r w:rsidRPr="00CB7FEF">
              <w:rPr>
                <w:rFonts w:ascii="Arial" w:hAnsi="Arial" w:cs="Arial"/>
                <w:color w:val="000000"/>
                <w:sz w:val="20"/>
                <w:szCs w:val="20"/>
              </w:rPr>
              <w:t>gobiernos en el establecimiento de mecanismos y la asignación de recursos financieros y</w:t>
            </w:r>
            <w:r>
              <w:rPr>
                <w:rFonts w:ascii="Arial" w:hAnsi="Arial" w:cs="Arial"/>
                <w:color w:val="000000"/>
                <w:sz w:val="20"/>
                <w:szCs w:val="20"/>
              </w:rPr>
              <w:t xml:space="preserve"> </w:t>
            </w:r>
            <w:r w:rsidRPr="00CB7FEF">
              <w:rPr>
                <w:rFonts w:ascii="Arial" w:hAnsi="Arial" w:cs="Arial"/>
                <w:color w:val="000000"/>
                <w:sz w:val="20"/>
                <w:szCs w:val="20"/>
              </w:rPr>
              <w:t>humanos para apoyar las estructuras del AEA, y para regular, incentivar, estimular, coordinar</w:t>
            </w:r>
            <w:r>
              <w:rPr>
                <w:rFonts w:ascii="Arial" w:hAnsi="Arial" w:cs="Arial"/>
                <w:color w:val="000000"/>
                <w:sz w:val="20"/>
                <w:szCs w:val="20"/>
              </w:rPr>
              <w:t xml:space="preserve"> </w:t>
            </w:r>
            <w:r w:rsidRPr="00CB7FEF">
              <w:rPr>
                <w:rFonts w:ascii="Arial" w:hAnsi="Arial" w:cs="Arial"/>
                <w:color w:val="000000"/>
                <w:sz w:val="20"/>
                <w:szCs w:val="20"/>
              </w:rPr>
              <w:t>y supervisar el AEA como un bien público y común.</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 comprometemos a fortalecer el AEA a nivel local, como</w:t>
            </w:r>
            <w:r>
              <w:rPr>
                <w:rFonts w:ascii="Arial" w:hAnsi="Arial" w:cs="Arial"/>
                <w:color w:val="000000"/>
                <w:sz w:val="20"/>
                <w:szCs w:val="20"/>
              </w:rPr>
              <w:t xml:space="preserve"> una dimensión estratégica para la </w:t>
            </w:r>
            <w:r w:rsidRPr="00833764">
              <w:rPr>
                <w:rFonts w:ascii="Arial" w:hAnsi="Arial" w:cs="Arial"/>
                <w:color w:val="000000"/>
                <w:sz w:val="20"/>
                <w:szCs w:val="20"/>
              </w:rPr>
              <w:t xml:space="preserve">planificación, el diseño y la implementación de programas </w:t>
            </w:r>
            <w:r>
              <w:rPr>
                <w:rFonts w:ascii="Arial" w:hAnsi="Arial" w:cs="Arial"/>
                <w:color w:val="000000"/>
                <w:sz w:val="20"/>
                <w:szCs w:val="20"/>
              </w:rPr>
              <w:t xml:space="preserve">de aprendizaje, y para apoyar y </w:t>
            </w:r>
            <w:r w:rsidRPr="00833764">
              <w:rPr>
                <w:rFonts w:ascii="Arial" w:hAnsi="Arial" w:cs="Arial"/>
                <w:color w:val="000000"/>
                <w:sz w:val="20"/>
                <w:szCs w:val="20"/>
              </w:rPr>
              <w:t>(</w:t>
            </w:r>
            <w:proofErr w:type="spellStart"/>
            <w:r w:rsidRPr="00833764">
              <w:rPr>
                <w:rFonts w:ascii="Arial" w:hAnsi="Arial" w:cs="Arial"/>
                <w:color w:val="000000"/>
                <w:sz w:val="20"/>
                <w:szCs w:val="20"/>
              </w:rPr>
              <w:t>co</w:t>
            </w:r>
            <w:proofErr w:type="spellEnd"/>
            <w:r w:rsidRPr="00833764">
              <w:rPr>
                <w:rFonts w:ascii="Arial" w:hAnsi="Arial" w:cs="Arial"/>
                <w:color w:val="000000"/>
                <w:sz w:val="20"/>
                <w:szCs w:val="20"/>
              </w:rPr>
              <w:t>)financiar iniciativas de formación y aprendizaje, como los centros de aprendizaje</w:t>
            </w:r>
            <w:r>
              <w:rPr>
                <w:rFonts w:ascii="Arial" w:hAnsi="Arial" w:cs="Arial"/>
                <w:color w:val="000000"/>
                <w:sz w:val="20"/>
                <w:szCs w:val="20"/>
              </w:rPr>
              <w:t xml:space="preserve"> </w:t>
            </w:r>
            <w:r w:rsidRPr="00CB7FEF">
              <w:rPr>
                <w:rFonts w:ascii="Arial" w:hAnsi="Arial" w:cs="Arial"/>
                <w:color w:val="000000"/>
                <w:sz w:val="20"/>
                <w:szCs w:val="20"/>
              </w:rPr>
              <w:t>comunitarios. Reconocemos la diversidad de los espacios de aprendizaje, como los de las</w:t>
            </w:r>
            <w:r>
              <w:rPr>
                <w:rFonts w:ascii="Arial" w:hAnsi="Arial" w:cs="Arial"/>
                <w:color w:val="000000"/>
                <w:sz w:val="20"/>
                <w:szCs w:val="20"/>
              </w:rPr>
              <w:t xml:space="preserve"> </w:t>
            </w:r>
            <w:r w:rsidRPr="00CB7FEF">
              <w:rPr>
                <w:rFonts w:ascii="Arial" w:hAnsi="Arial" w:cs="Arial"/>
                <w:color w:val="000000"/>
                <w:sz w:val="20"/>
                <w:szCs w:val="20"/>
              </w:rPr>
              <w:t>instituciones de educación y formación técnica y profesional (EFTP) y de educación superior,</w:t>
            </w:r>
            <w:r>
              <w:rPr>
                <w:rFonts w:ascii="Arial" w:hAnsi="Arial" w:cs="Arial"/>
                <w:color w:val="000000"/>
                <w:sz w:val="20"/>
                <w:szCs w:val="20"/>
              </w:rPr>
              <w:t xml:space="preserve"> </w:t>
            </w:r>
            <w:r w:rsidRPr="00CB7FEF">
              <w:rPr>
                <w:rFonts w:ascii="Arial" w:hAnsi="Arial" w:cs="Arial"/>
                <w:color w:val="000000"/>
                <w:sz w:val="20"/>
                <w:szCs w:val="20"/>
              </w:rPr>
              <w:t>las bibliotecas, los museos, los lugares de trabajo, los espacios públicos, las instituciones</w:t>
            </w:r>
            <w:r>
              <w:rPr>
                <w:rFonts w:ascii="Arial" w:hAnsi="Arial" w:cs="Arial"/>
                <w:color w:val="000000"/>
                <w:sz w:val="20"/>
                <w:szCs w:val="20"/>
              </w:rPr>
              <w:t xml:space="preserve"> </w:t>
            </w:r>
            <w:r w:rsidRPr="00CB7FEF">
              <w:rPr>
                <w:rFonts w:ascii="Arial" w:hAnsi="Arial" w:cs="Arial"/>
                <w:color w:val="000000"/>
                <w:sz w:val="20"/>
                <w:szCs w:val="20"/>
              </w:rPr>
              <w:t>artísticas y culturales, el deporte y la recreación, los grupos de iguales, la familia y otros. Esto</w:t>
            </w:r>
            <w:r>
              <w:rPr>
                <w:rFonts w:ascii="Arial" w:hAnsi="Arial" w:cs="Arial"/>
                <w:color w:val="000000"/>
                <w:sz w:val="20"/>
                <w:szCs w:val="20"/>
              </w:rPr>
              <w:t xml:space="preserve"> </w:t>
            </w:r>
            <w:r w:rsidRPr="00CB7FEF">
              <w:rPr>
                <w:rFonts w:ascii="Arial" w:hAnsi="Arial" w:cs="Arial"/>
                <w:color w:val="000000"/>
                <w:sz w:val="20"/>
                <w:szCs w:val="20"/>
              </w:rPr>
              <w:t>significa reforzar el papel de los gobiernos subnacionales en la promoción del aprendizaje a</w:t>
            </w:r>
            <w:r>
              <w:rPr>
                <w:rFonts w:ascii="Arial" w:hAnsi="Arial" w:cs="Arial"/>
                <w:color w:val="000000"/>
                <w:sz w:val="20"/>
                <w:szCs w:val="20"/>
              </w:rPr>
              <w:t xml:space="preserve"> </w:t>
            </w:r>
            <w:r w:rsidRPr="00CB7FEF">
              <w:rPr>
                <w:rFonts w:ascii="Arial" w:hAnsi="Arial" w:cs="Arial"/>
                <w:color w:val="000000"/>
                <w:sz w:val="20"/>
                <w:szCs w:val="20"/>
              </w:rPr>
              <w:t>lo largo de toda la vida para todos a nivel local, por ejemplo, persiguiendo el desarrollo de las</w:t>
            </w:r>
            <w:r>
              <w:rPr>
                <w:rFonts w:ascii="Arial" w:hAnsi="Arial" w:cs="Arial"/>
                <w:color w:val="000000"/>
                <w:sz w:val="20"/>
                <w:szCs w:val="20"/>
              </w:rPr>
              <w:t xml:space="preserve"> </w:t>
            </w:r>
            <w:r w:rsidRPr="00CB7FEF">
              <w:rPr>
                <w:rFonts w:ascii="Arial" w:hAnsi="Arial" w:cs="Arial"/>
                <w:color w:val="000000"/>
                <w:sz w:val="20"/>
                <w:szCs w:val="20"/>
              </w:rPr>
              <w:t>ciudades del aprendizaje, así como fomentando la participación de los asociados locales,</w:t>
            </w:r>
            <w:r>
              <w:rPr>
                <w:rFonts w:ascii="Arial" w:hAnsi="Arial" w:cs="Arial"/>
                <w:color w:val="000000"/>
                <w:sz w:val="20"/>
                <w:szCs w:val="20"/>
              </w:rPr>
              <w:t xml:space="preserve"> </w:t>
            </w:r>
            <w:r w:rsidRPr="0033466C">
              <w:rPr>
                <w:rFonts w:ascii="Arial" w:hAnsi="Arial" w:cs="Arial"/>
                <w:color w:val="000000"/>
                <w:sz w:val="20"/>
                <w:szCs w:val="20"/>
              </w:rPr>
              <w:t>incluidos los educandos.</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33466C">
              <w:rPr>
                <w:rFonts w:ascii="Arial" w:hAnsi="Arial" w:cs="Arial"/>
                <w:color w:val="000000"/>
                <w:sz w:val="20"/>
                <w:szCs w:val="20"/>
              </w:rPr>
              <w:t>Además, en consonancia con nuestro compromiso de crear itinerarios de aprendizaje</w:t>
            </w:r>
            <w:r>
              <w:rPr>
                <w:rFonts w:ascii="Arial" w:hAnsi="Arial" w:cs="Arial"/>
                <w:color w:val="000000"/>
                <w:sz w:val="20"/>
                <w:szCs w:val="20"/>
              </w:rPr>
              <w:t xml:space="preserve"> </w:t>
            </w:r>
            <w:r w:rsidRPr="0033466C">
              <w:rPr>
                <w:rFonts w:ascii="Arial" w:hAnsi="Arial" w:cs="Arial"/>
                <w:color w:val="000000"/>
                <w:sz w:val="20"/>
                <w:szCs w:val="20"/>
              </w:rPr>
              <w:t>flexibles dentro de los tipos de vocación y entre ellos, nos comprometemos a aplicar la</w:t>
            </w:r>
            <w:r>
              <w:rPr>
                <w:rFonts w:ascii="Arial" w:hAnsi="Arial" w:cs="Arial"/>
                <w:color w:val="000000"/>
                <w:sz w:val="20"/>
                <w:szCs w:val="20"/>
              </w:rPr>
              <w:t xml:space="preserve"> </w:t>
            </w:r>
            <w:r w:rsidRPr="0033466C">
              <w:rPr>
                <w:rFonts w:ascii="Arial" w:hAnsi="Arial" w:cs="Arial"/>
                <w:color w:val="000000"/>
                <w:sz w:val="20"/>
                <w:szCs w:val="20"/>
              </w:rPr>
              <w:t>validación y la acreditación del aprendizaje no formal e informal siempre que sea apropiado</w:t>
            </w:r>
            <w:r>
              <w:rPr>
                <w:rFonts w:ascii="Arial" w:hAnsi="Arial" w:cs="Arial"/>
                <w:color w:val="000000"/>
                <w:sz w:val="20"/>
                <w:szCs w:val="20"/>
              </w:rPr>
              <w:t xml:space="preserve"> </w:t>
            </w:r>
            <w:r w:rsidRPr="0033466C">
              <w:rPr>
                <w:rFonts w:ascii="Arial" w:hAnsi="Arial" w:cs="Arial"/>
                <w:color w:val="000000"/>
                <w:sz w:val="20"/>
                <w:szCs w:val="20"/>
              </w:rPr>
              <w:t>y pertinente para integrar a sectores más amplios de la población en un sistema de educación</w:t>
            </w:r>
            <w:r>
              <w:rPr>
                <w:rFonts w:ascii="Arial" w:hAnsi="Arial" w:cs="Arial"/>
                <w:color w:val="000000"/>
                <w:sz w:val="20"/>
                <w:szCs w:val="20"/>
              </w:rPr>
              <w:t xml:space="preserve"> </w:t>
            </w:r>
            <w:r w:rsidRPr="0033466C">
              <w:rPr>
                <w:rFonts w:ascii="Arial" w:hAnsi="Arial" w:cs="Arial"/>
                <w:color w:val="000000"/>
                <w:sz w:val="20"/>
                <w:szCs w:val="20"/>
              </w:rPr>
              <w:t>y formación abierto y flexible. El establecimiento de itinerarios de aprendizaje flexibles es</w:t>
            </w:r>
            <w:r>
              <w:rPr>
                <w:rFonts w:ascii="Arial" w:hAnsi="Arial" w:cs="Arial"/>
                <w:color w:val="000000"/>
                <w:sz w:val="20"/>
                <w:szCs w:val="20"/>
              </w:rPr>
              <w:t xml:space="preserve"> </w:t>
            </w:r>
            <w:r w:rsidRPr="0033466C">
              <w:rPr>
                <w:rFonts w:ascii="Arial" w:hAnsi="Arial" w:cs="Arial"/>
                <w:color w:val="000000"/>
                <w:sz w:val="20"/>
                <w:szCs w:val="20"/>
              </w:rPr>
              <w:t>decisivo para permitir la movilidad entre diferentes programas, y para que los educandos</w:t>
            </w:r>
            <w:r>
              <w:rPr>
                <w:rFonts w:ascii="Arial" w:hAnsi="Arial" w:cs="Arial"/>
                <w:color w:val="000000"/>
                <w:sz w:val="20"/>
                <w:szCs w:val="20"/>
              </w:rPr>
              <w:t xml:space="preserve"> </w:t>
            </w:r>
            <w:r w:rsidRPr="0033466C">
              <w:rPr>
                <w:rFonts w:ascii="Arial" w:hAnsi="Arial" w:cs="Arial"/>
                <w:color w:val="000000"/>
                <w:sz w:val="20"/>
                <w:szCs w:val="20"/>
              </w:rPr>
              <w:t xml:space="preserve">puedan elegir sus trayectorias de aprendizaje según sus talentos e intereses, </w:t>
            </w:r>
            <w:r w:rsidRPr="0033466C">
              <w:rPr>
                <w:rFonts w:ascii="Arial" w:hAnsi="Arial" w:cs="Arial"/>
                <w:color w:val="000000"/>
                <w:sz w:val="20"/>
                <w:szCs w:val="20"/>
              </w:rPr>
              <w:lastRenderedPageBreak/>
              <w:t>aprovechando</w:t>
            </w:r>
            <w:r>
              <w:rPr>
                <w:rFonts w:ascii="Arial" w:hAnsi="Arial" w:cs="Arial"/>
                <w:color w:val="000000"/>
                <w:sz w:val="20"/>
                <w:szCs w:val="20"/>
              </w:rPr>
              <w:t xml:space="preserve"> </w:t>
            </w:r>
            <w:r w:rsidRPr="0033466C">
              <w:rPr>
                <w:rFonts w:ascii="Arial" w:hAnsi="Arial" w:cs="Arial"/>
                <w:color w:val="000000"/>
                <w:sz w:val="20"/>
                <w:szCs w:val="20"/>
              </w:rPr>
              <w:t>la apertura de puentes entre subsistemas.</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Garantizar la calidad del aprendizaje</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Subrayamos el papel clave de los docentes y educadores en el aprendizaje y la educación de</w:t>
            </w:r>
            <w:r>
              <w:rPr>
                <w:rFonts w:ascii="Arial" w:hAnsi="Arial" w:cs="Arial"/>
                <w:color w:val="000000"/>
                <w:sz w:val="20"/>
                <w:szCs w:val="20"/>
              </w:rPr>
              <w:t xml:space="preserve"> </w:t>
            </w:r>
            <w:r w:rsidRPr="0033466C">
              <w:rPr>
                <w:rFonts w:ascii="Arial" w:hAnsi="Arial" w:cs="Arial"/>
                <w:color w:val="000000"/>
                <w:sz w:val="20"/>
                <w:szCs w:val="20"/>
              </w:rPr>
              <w:t>adultos. Por lo tanto, nos comprometemos a implementar políticas y estrategias para</w:t>
            </w:r>
            <w:r>
              <w:rPr>
                <w:rFonts w:ascii="Arial" w:hAnsi="Arial" w:cs="Arial"/>
                <w:color w:val="000000"/>
                <w:sz w:val="20"/>
                <w:szCs w:val="20"/>
              </w:rPr>
              <w:t xml:space="preserve"> </w:t>
            </w:r>
            <w:r w:rsidRPr="0033466C">
              <w:rPr>
                <w:rFonts w:ascii="Arial" w:hAnsi="Arial" w:cs="Arial"/>
                <w:color w:val="000000"/>
                <w:sz w:val="20"/>
                <w:szCs w:val="20"/>
              </w:rPr>
              <w:t>profesionalizar aún más el AEA mediante la formación inicial, continua y en servicio de los</w:t>
            </w:r>
            <w:r>
              <w:rPr>
                <w:rFonts w:ascii="Arial" w:hAnsi="Arial" w:cs="Arial"/>
                <w:color w:val="000000"/>
                <w:sz w:val="20"/>
                <w:szCs w:val="20"/>
              </w:rPr>
              <w:t xml:space="preserve"> </w:t>
            </w:r>
            <w:r w:rsidRPr="0033466C">
              <w:rPr>
                <w:rFonts w:ascii="Arial" w:hAnsi="Arial" w:cs="Arial"/>
                <w:color w:val="000000"/>
                <w:sz w:val="20"/>
                <w:szCs w:val="20"/>
              </w:rPr>
              <w:t>educadores de adultos -docentes, facilitadores, instructores, guías y otros- y mejorando sus</w:t>
            </w:r>
            <w:r>
              <w:rPr>
                <w:rFonts w:ascii="Arial" w:hAnsi="Arial" w:cs="Arial"/>
                <w:color w:val="000000"/>
                <w:sz w:val="20"/>
                <w:szCs w:val="20"/>
              </w:rPr>
              <w:t xml:space="preserve"> </w:t>
            </w:r>
            <w:r w:rsidRPr="0033466C">
              <w:rPr>
                <w:rFonts w:ascii="Arial" w:hAnsi="Arial" w:cs="Arial"/>
                <w:color w:val="000000"/>
                <w:sz w:val="20"/>
                <w:szCs w:val="20"/>
              </w:rPr>
              <w:t>condiciones de trabajo y su estatus, incluida su trayectoria de desarrollo profesional. Hacerlo</w:t>
            </w:r>
            <w:r>
              <w:rPr>
                <w:rFonts w:ascii="Arial" w:hAnsi="Arial" w:cs="Arial"/>
                <w:color w:val="000000"/>
                <w:sz w:val="20"/>
                <w:szCs w:val="20"/>
              </w:rPr>
              <w:t xml:space="preserve"> </w:t>
            </w:r>
            <w:r w:rsidRPr="0033466C">
              <w:rPr>
                <w:rFonts w:ascii="Arial" w:hAnsi="Arial" w:cs="Arial"/>
                <w:color w:val="000000"/>
                <w:sz w:val="20"/>
                <w:szCs w:val="20"/>
              </w:rPr>
              <w:t>será vital para enfrentar la actual falta de docentes calificados en AEA y la escasez de</w:t>
            </w:r>
            <w:r>
              <w:rPr>
                <w:rFonts w:ascii="Arial" w:hAnsi="Arial" w:cs="Arial"/>
                <w:color w:val="000000"/>
                <w:sz w:val="20"/>
                <w:szCs w:val="20"/>
              </w:rPr>
              <w:t xml:space="preserve"> </w:t>
            </w:r>
            <w:r w:rsidRPr="0033466C">
              <w:rPr>
                <w:rFonts w:ascii="Arial" w:hAnsi="Arial" w:cs="Arial"/>
                <w:color w:val="000000"/>
                <w:sz w:val="20"/>
                <w:szCs w:val="20"/>
              </w:rPr>
              <w:t>programas e instituciones para formar profesionales. Además, identificamos el desarrollo de</w:t>
            </w:r>
            <w:r>
              <w:rPr>
                <w:rFonts w:ascii="Arial" w:hAnsi="Arial" w:cs="Arial"/>
                <w:color w:val="000000"/>
                <w:sz w:val="20"/>
                <w:szCs w:val="20"/>
              </w:rPr>
              <w:t xml:space="preserve"> </w:t>
            </w:r>
            <w:r w:rsidRPr="0033466C">
              <w:rPr>
                <w:rFonts w:ascii="Arial" w:hAnsi="Arial" w:cs="Arial"/>
                <w:color w:val="000000"/>
                <w:sz w:val="20"/>
                <w:szCs w:val="20"/>
              </w:rPr>
              <w:t>normas para los docentes del AEA como una vía estratégica de profesionalización y mejora</w:t>
            </w:r>
            <w:r>
              <w:rPr>
                <w:rFonts w:ascii="Arial" w:hAnsi="Arial" w:cs="Arial"/>
                <w:color w:val="000000"/>
                <w:sz w:val="20"/>
                <w:szCs w:val="20"/>
              </w:rPr>
              <w:t xml:space="preserve"> </w:t>
            </w:r>
            <w:r w:rsidRPr="0033466C">
              <w:rPr>
                <w:rFonts w:ascii="Arial" w:hAnsi="Arial" w:cs="Arial"/>
                <w:color w:val="000000"/>
                <w:sz w:val="20"/>
                <w:szCs w:val="20"/>
              </w:rPr>
              <w:t>de calidad.</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33466C">
              <w:rPr>
                <w:rFonts w:ascii="Arial" w:hAnsi="Arial" w:cs="Arial"/>
                <w:color w:val="000000"/>
                <w:sz w:val="20"/>
                <w:szCs w:val="20"/>
              </w:rPr>
              <w:t>En consonancia con el informe Futuros de la Educación, nos comprometemos a valorar las</w:t>
            </w:r>
            <w:r>
              <w:rPr>
                <w:rFonts w:ascii="Arial" w:hAnsi="Arial" w:cs="Arial"/>
                <w:color w:val="000000"/>
                <w:sz w:val="20"/>
                <w:szCs w:val="20"/>
              </w:rPr>
              <w:t xml:space="preserve"> </w:t>
            </w:r>
            <w:r w:rsidRPr="0033466C">
              <w:rPr>
                <w:rFonts w:ascii="Arial" w:hAnsi="Arial" w:cs="Arial"/>
                <w:color w:val="000000"/>
                <w:sz w:val="20"/>
                <w:szCs w:val="20"/>
              </w:rPr>
              <w:t>pedagogías de la cooperación, que destacan la importancia del aprendizaje como proceso</w:t>
            </w:r>
            <w:r>
              <w:rPr>
                <w:rFonts w:ascii="Arial" w:hAnsi="Arial" w:cs="Arial"/>
                <w:color w:val="000000"/>
                <w:sz w:val="20"/>
                <w:szCs w:val="20"/>
              </w:rPr>
              <w:t xml:space="preserve"> </w:t>
            </w:r>
            <w:r w:rsidRPr="0033466C">
              <w:rPr>
                <w:rFonts w:ascii="Arial" w:hAnsi="Arial" w:cs="Arial"/>
                <w:color w:val="000000"/>
                <w:sz w:val="20"/>
                <w:szCs w:val="20"/>
              </w:rPr>
              <w:t>social y, a la luz de los ODS, cada vez más, entre las personas y el planeta. Si bien el uso de las</w:t>
            </w:r>
            <w:r>
              <w:rPr>
                <w:rFonts w:ascii="Arial" w:hAnsi="Arial" w:cs="Arial"/>
                <w:color w:val="000000"/>
                <w:sz w:val="20"/>
                <w:szCs w:val="20"/>
              </w:rPr>
              <w:t xml:space="preserve"> </w:t>
            </w:r>
            <w:r w:rsidRPr="0033466C">
              <w:rPr>
                <w:rFonts w:ascii="Arial" w:hAnsi="Arial" w:cs="Arial"/>
                <w:color w:val="000000"/>
                <w:sz w:val="20"/>
                <w:szCs w:val="20"/>
              </w:rPr>
              <w:t>tecnologías en el AEA es cada vez más importante, dicho uso invariablemente debe ser objeto</w:t>
            </w:r>
            <w:r>
              <w:rPr>
                <w:rFonts w:ascii="Arial" w:hAnsi="Arial" w:cs="Arial"/>
                <w:color w:val="000000"/>
                <w:sz w:val="20"/>
                <w:szCs w:val="20"/>
              </w:rPr>
              <w:t xml:space="preserve"> </w:t>
            </w:r>
            <w:r w:rsidRPr="0033466C">
              <w:rPr>
                <w:rFonts w:ascii="Arial" w:hAnsi="Arial" w:cs="Arial"/>
                <w:color w:val="000000"/>
                <w:sz w:val="20"/>
                <w:szCs w:val="20"/>
              </w:rPr>
              <w:t>de una evaluación crítica para garantizar que responda a las necesidades de las personas y</w:t>
            </w:r>
            <w:r>
              <w:rPr>
                <w:rFonts w:ascii="Arial" w:hAnsi="Arial" w:cs="Arial"/>
                <w:color w:val="000000"/>
                <w:sz w:val="20"/>
                <w:szCs w:val="20"/>
              </w:rPr>
              <w:t xml:space="preserve"> </w:t>
            </w:r>
            <w:r w:rsidRPr="0033466C">
              <w:rPr>
                <w:rFonts w:ascii="Arial" w:hAnsi="Arial" w:cs="Arial"/>
                <w:color w:val="000000"/>
                <w:sz w:val="20"/>
                <w:szCs w:val="20"/>
              </w:rPr>
              <w:t xml:space="preserve">de la sociedad. </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33466C">
              <w:rPr>
                <w:rFonts w:ascii="Arial" w:hAnsi="Arial" w:cs="Arial"/>
                <w:color w:val="000000"/>
                <w:sz w:val="20"/>
                <w:szCs w:val="20"/>
              </w:rPr>
              <w:t>También nos comprometeremos a seguir promoviendo planes de estudio y materiales</w:t>
            </w:r>
            <w:r>
              <w:rPr>
                <w:rFonts w:ascii="Arial" w:hAnsi="Arial" w:cs="Arial"/>
                <w:color w:val="000000"/>
                <w:sz w:val="20"/>
                <w:szCs w:val="20"/>
              </w:rPr>
              <w:t xml:space="preserve"> </w:t>
            </w:r>
            <w:r w:rsidRPr="0033466C">
              <w:rPr>
                <w:rFonts w:ascii="Arial" w:hAnsi="Arial" w:cs="Arial"/>
                <w:color w:val="000000"/>
                <w:sz w:val="20"/>
                <w:szCs w:val="20"/>
              </w:rPr>
              <w:t>didácticos pertinentes, no discriminatorios y que tengan en cuenta la perspectiva de género,</w:t>
            </w:r>
            <w:r>
              <w:rPr>
                <w:rFonts w:ascii="Arial" w:hAnsi="Arial" w:cs="Arial"/>
                <w:color w:val="000000"/>
                <w:sz w:val="20"/>
                <w:szCs w:val="20"/>
              </w:rPr>
              <w:t xml:space="preserve"> </w:t>
            </w:r>
            <w:r w:rsidRPr="0033466C">
              <w:rPr>
                <w:rFonts w:ascii="Arial" w:hAnsi="Arial" w:cs="Arial"/>
                <w:color w:val="000000"/>
                <w:sz w:val="20"/>
                <w:szCs w:val="20"/>
              </w:rPr>
              <w:t>que incorporarán campos de aprendizaje emergentes como la educación para la ciudadanía,</w:t>
            </w:r>
            <w:r>
              <w:rPr>
                <w:rFonts w:ascii="Arial" w:hAnsi="Arial" w:cs="Arial"/>
                <w:color w:val="000000"/>
                <w:sz w:val="20"/>
                <w:szCs w:val="20"/>
              </w:rPr>
              <w:t xml:space="preserve"> </w:t>
            </w:r>
            <w:r w:rsidRPr="0033466C">
              <w:rPr>
                <w:rFonts w:ascii="Arial" w:hAnsi="Arial" w:cs="Arial"/>
                <w:color w:val="000000"/>
                <w:sz w:val="20"/>
                <w:szCs w:val="20"/>
              </w:rPr>
              <w:t>la educación para el desarrollo sostenible, la educación para la salud y el bienestar, y las</w:t>
            </w:r>
            <w:r>
              <w:rPr>
                <w:rFonts w:ascii="Arial" w:hAnsi="Arial" w:cs="Arial"/>
                <w:color w:val="000000"/>
                <w:sz w:val="20"/>
                <w:szCs w:val="20"/>
              </w:rPr>
              <w:t xml:space="preserve"> </w:t>
            </w:r>
            <w:r w:rsidRPr="0033466C">
              <w:rPr>
                <w:rFonts w:ascii="Arial" w:hAnsi="Arial" w:cs="Arial"/>
                <w:color w:val="000000"/>
                <w:sz w:val="20"/>
                <w:szCs w:val="20"/>
              </w:rPr>
              <w:t>competencias digitales.</w:t>
            </w:r>
          </w:p>
          <w:p w:rsidR="00DD69B0" w:rsidRPr="0033466C"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33466C">
              <w:rPr>
                <w:rFonts w:ascii="Arial" w:hAnsi="Arial" w:cs="Arial"/>
                <w:color w:val="000000"/>
                <w:sz w:val="20"/>
                <w:szCs w:val="20"/>
              </w:rPr>
              <w:t>Para mejorar la calidad del AEA, nos comprometemos a apoyar formas de investigación y</w:t>
            </w:r>
            <w:r>
              <w:rPr>
                <w:rFonts w:ascii="Arial" w:hAnsi="Arial" w:cs="Arial"/>
                <w:color w:val="000000"/>
                <w:sz w:val="20"/>
                <w:szCs w:val="20"/>
              </w:rPr>
              <w:t xml:space="preserve"> </w:t>
            </w:r>
            <w:r w:rsidRPr="0033466C">
              <w:rPr>
                <w:rFonts w:ascii="Arial" w:hAnsi="Arial" w:cs="Arial"/>
                <w:color w:val="000000"/>
                <w:sz w:val="20"/>
                <w:szCs w:val="20"/>
              </w:rPr>
              <w:t>evaluación que sean congruentes con los principios participativos del AEA, en el sentido de</w:t>
            </w:r>
            <w:r>
              <w:rPr>
                <w:rFonts w:ascii="Arial" w:hAnsi="Arial" w:cs="Arial"/>
                <w:color w:val="000000"/>
                <w:sz w:val="20"/>
                <w:szCs w:val="20"/>
              </w:rPr>
              <w:t xml:space="preserve"> </w:t>
            </w:r>
            <w:r w:rsidRPr="0033466C">
              <w:rPr>
                <w:rFonts w:ascii="Arial" w:hAnsi="Arial" w:cs="Arial"/>
                <w:color w:val="000000"/>
                <w:sz w:val="20"/>
                <w:szCs w:val="20"/>
              </w:rPr>
              <w:t>que impliquen a los educandos en actividades significativas y relevantes para su vida</w:t>
            </w:r>
            <w:r>
              <w:rPr>
                <w:rFonts w:ascii="Arial" w:hAnsi="Arial" w:cs="Arial"/>
                <w:color w:val="000000"/>
                <w:sz w:val="20"/>
                <w:szCs w:val="20"/>
              </w:rPr>
              <w:t xml:space="preserve"> </w:t>
            </w:r>
            <w:r w:rsidRPr="0033466C">
              <w:rPr>
                <w:rFonts w:ascii="Arial" w:hAnsi="Arial" w:cs="Arial"/>
                <w:color w:val="000000"/>
                <w:sz w:val="20"/>
                <w:szCs w:val="20"/>
              </w:rPr>
              <w:t xml:space="preserve">cotidiana. Los procesos de </w:t>
            </w:r>
            <w:proofErr w:type="spellStart"/>
            <w:r w:rsidRPr="0033466C">
              <w:rPr>
                <w:rFonts w:ascii="Arial" w:hAnsi="Arial" w:cs="Arial"/>
                <w:color w:val="000000"/>
                <w:sz w:val="20"/>
                <w:szCs w:val="20"/>
              </w:rPr>
              <w:t>co</w:t>
            </w:r>
            <w:proofErr w:type="spellEnd"/>
            <w:r w:rsidRPr="0033466C">
              <w:rPr>
                <w:rFonts w:ascii="Arial" w:hAnsi="Arial" w:cs="Arial"/>
                <w:color w:val="000000"/>
                <w:sz w:val="20"/>
                <w:szCs w:val="20"/>
              </w:rPr>
              <w:t>-construcción y la investigación participativa son</w:t>
            </w:r>
            <w:r>
              <w:rPr>
                <w:rFonts w:ascii="Arial" w:hAnsi="Arial" w:cs="Arial"/>
                <w:color w:val="000000"/>
                <w:sz w:val="20"/>
                <w:szCs w:val="20"/>
              </w:rPr>
              <w:t xml:space="preserve"> </w:t>
            </w:r>
            <w:r w:rsidRPr="0033466C">
              <w:rPr>
                <w:rFonts w:ascii="Arial" w:hAnsi="Arial" w:cs="Arial"/>
                <w:color w:val="000000"/>
                <w:sz w:val="20"/>
                <w:szCs w:val="20"/>
              </w:rPr>
              <w:t>particularmente adecuados para permitir a los docentes, diseñadores y participantes del AEA</w:t>
            </w:r>
            <w:r>
              <w:rPr>
                <w:rFonts w:ascii="Arial" w:hAnsi="Arial" w:cs="Arial"/>
                <w:color w:val="000000"/>
                <w:sz w:val="20"/>
                <w:szCs w:val="20"/>
              </w:rPr>
              <w:t xml:space="preserve"> </w:t>
            </w:r>
            <w:r w:rsidRPr="0033466C">
              <w:rPr>
                <w:rFonts w:ascii="Arial" w:hAnsi="Arial" w:cs="Arial"/>
                <w:color w:val="000000"/>
                <w:sz w:val="20"/>
                <w:szCs w:val="20"/>
              </w:rPr>
              <w:t>evaluar conjuntamente los efectos, los puntos fuertes y las áreas de mejora de los programas</w:t>
            </w:r>
            <w:r>
              <w:rPr>
                <w:rFonts w:ascii="Arial" w:hAnsi="Arial" w:cs="Arial"/>
                <w:color w:val="000000"/>
                <w:sz w:val="20"/>
                <w:szCs w:val="20"/>
              </w:rPr>
              <w:t xml:space="preserve"> </w:t>
            </w:r>
            <w:r w:rsidRPr="0033466C">
              <w:rPr>
                <w:rFonts w:ascii="Arial" w:hAnsi="Arial" w:cs="Arial"/>
                <w:color w:val="000000"/>
                <w:sz w:val="20"/>
                <w:szCs w:val="20"/>
              </w:rPr>
              <w:t>desarrollados.</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Incremento del financiamiento</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 xml:space="preserve">Nos comprometemos a aumentar el financiamiento público y la </w:t>
            </w:r>
            <w:r w:rsidRPr="00833764">
              <w:rPr>
                <w:rFonts w:ascii="Arial" w:hAnsi="Arial" w:cs="Arial"/>
                <w:color w:val="000000"/>
                <w:sz w:val="20"/>
                <w:szCs w:val="20"/>
              </w:rPr>
              <w:lastRenderedPageBreak/>
              <w:t>movilización de recursos para</w:t>
            </w:r>
            <w:r>
              <w:rPr>
                <w:rFonts w:ascii="Arial" w:hAnsi="Arial" w:cs="Arial"/>
                <w:color w:val="000000"/>
                <w:sz w:val="20"/>
                <w:szCs w:val="20"/>
              </w:rPr>
              <w:t xml:space="preserve"> </w:t>
            </w:r>
            <w:r w:rsidRPr="00DA4DC0">
              <w:rPr>
                <w:rFonts w:ascii="Arial" w:hAnsi="Arial" w:cs="Arial"/>
                <w:color w:val="000000"/>
                <w:sz w:val="20"/>
                <w:szCs w:val="20"/>
              </w:rPr>
              <w:t>el AEA. Como componente del aprendizaje a lo largo de toda la vida, la financiación del AEA</w:t>
            </w:r>
            <w:r>
              <w:rPr>
                <w:rFonts w:ascii="Arial" w:hAnsi="Arial" w:cs="Arial"/>
                <w:color w:val="000000"/>
                <w:sz w:val="20"/>
                <w:szCs w:val="20"/>
              </w:rPr>
              <w:t xml:space="preserve"> </w:t>
            </w:r>
            <w:r w:rsidRPr="00DA4DC0">
              <w:rPr>
                <w:rFonts w:ascii="Arial" w:hAnsi="Arial" w:cs="Arial"/>
                <w:color w:val="000000"/>
                <w:sz w:val="20"/>
                <w:szCs w:val="20"/>
              </w:rPr>
              <w:t>debe implicar la contribución de una amplia diversidad de interesados, varios ministerios,</w:t>
            </w:r>
            <w:r>
              <w:rPr>
                <w:rFonts w:ascii="Arial" w:hAnsi="Arial" w:cs="Arial"/>
                <w:color w:val="000000"/>
                <w:sz w:val="20"/>
                <w:szCs w:val="20"/>
              </w:rPr>
              <w:t xml:space="preserve"> </w:t>
            </w:r>
            <w:r w:rsidRPr="00DA4DC0">
              <w:rPr>
                <w:rFonts w:ascii="Arial" w:hAnsi="Arial" w:cs="Arial"/>
                <w:color w:val="000000"/>
                <w:sz w:val="20"/>
                <w:szCs w:val="20"/>
              </w:rPr>
              <w:t>empleadores y otros actores privados, gobiernos locales y educandos. Dichas fórmulas de</w:t>
            </w:r>
            <w:r>
              <w:rPr>
                <w:rFonts w:ascii="Arial" w:hAnsi="Arial" w:cs="Arial"/>
                <w:color w:val="000000"/>
                <w:sz w:val="20"/>
                <w:szCs w:val="20"/>
              </w:rPr>
              <w:t xml:space="preserve"> </w:t>
            </w:r>
            <w:r w:rsidRPr="00DA4DC0">
              <w:rPr>
                <w:rFonts w:ascii="Arial" w:hAnsi="Arial" w:cs="Arial"/>
                <w:color w:val="000000"/>
                <w:sz w:val="20"/>
                <w:szCs w:val="20"/>
              </w:rPr>
              <w:t>financiamiento deben combinar los compromisos presupuestarios regulares con otras formas</w:t>
            </w:r>
            <w:r>
              <w:rPr>
                <w:rFonts w:ascii="Arial" w:hAnsi="Arial" w:cs="Arial"/>
                <w:color w:val="000000"/>
                <w:sz w:val="20"/>
                <w:szCs w:val="20"/>
              </w:rPr>
              <w:t xml:space="preserve"> </w:t>
            </w:r>
            <w:r w:rsidRPr="00DA4DC0">
              <w:rPr>
                <w:rFonts w:ascii="Arial" w:hAnsi="Arial" w:cs="Arial"/>
                <w:color w:val="000000"/>
                <w:sz w:val="20"/>
                <w:szCs w:val="20"/>
              </w:rPr>
              <w:t>de financiación, incluido el financiamiento mixto, y los mecanismos para proporcionar</w:t>
            </w:r>
            <w:r>
              <w:rPr>
                <w:rFonts w:ascii="Arial" w:hAnsi="Arial" w:cs="Arial"/>
                <w:color w:val="000000"/>
                <w:sz w:val="20"/>
                <w:szCs w:val="20"/>
              </w:rPr>
              <w:t xml:space="preserve"> </w:t>
            </w:r>
            <w:r w:rsidRPr="00DA4DC0">
              <w:rPr>
                <w:rFonts w:ascii="Arial" w:hAnsi="Arial" w:cs="Arial"/>
                <w:color w:val="000000"/>
                <w:sz w:val="20"/>
                <w:szCs w:val="20"/>
              </w:rPr>
              <w:t>derechos individuales al aprendizaje a lo largo de toda la vida, en particular el apoyo</w:t>
            </w:r>
            <w:r>
              <w:rPr>
                <w:rFonts w:ascii="Arial" w:hAnsi="Arial" w:cs="Arial"/>
                <w:color w:val="000000"/>
                <w:sz w:val="20"/>
                <w:szCs w:val="20"/>
              </w:rPr>
              <w:t xml:space="preserve"> </w:t>
            </w:r>
            <w:r w:rsidRPr="00DA4DC0">
              <w:rPr>
                <w:rFonts w:ascii="Arial" w:hAnsi="Arial" w:cs="Arial"/>
                <w:color w:val="000000"/>
                <w:sz w:val="20"/>
                <w:szCs w:val="20"/>
              </w:rPr>
              <w:t>financiero a los grupos marginados. Estamos decididos a aumentar el gasto público en</w:t>
            </w:r>
            <w:r>
              <w:rPr>
                <w:rFonts w:ascii="Arial" w:hAnsi="Arial" w:cs="Arial"/>
                <w:color w:val="000000"/>
                <w:sz w:val="20"/>
                <w:szCs w:val="20"/>
              </w:rPr>
              <w:t xml:space="preserve"> </w:t>
            </w:r>
            <w:r w:rsidRPr="00DA4DC0">
              <w:rPr>
                <w:rFonts w:ascii="Arial" w:hAnsi="Arial" w:cs="Arial"/>
                <w:color w:val="000000"/>
                <w:sz w:val="20"/>
                <w:szCs w:val="20"/>
              </w:rPr>
              <w:t>educación de acuerdo con los contextos de los países para cumplir con los puntos de</w:t>
            </w:r>
            <w:r>
              <w:rPr>
                <w:rFonts w:ascii="Arial" w:hAnsi="Arial" w:cs="Arial"/>
                <w:color w:val="000000"/>
                <w:sz w:val="20"/>
                <w:szCs w:val="20"/>
              </w:rPr>
              <w:t xml:space="preserve"> </w:t>
            </w:r>
            <w:r w:rsidRPr="00DA4DC0">
              <w:rPr>
                <w:rFonts w:ascii="Arial" w:hAnsi="Arial" w:cs="Arial"/>
                <w:color w:val="000000"/>
                <w:sz w:val="20"/>
                <w:szCs w:val="20"/>
              </w:rPr>
              <w:t>referencia internacionales de asignar entre el 4 y el 6% del PIB y/o entre el 15 y el 20% del</w:t>
            </w:r>
            <w:r>
              <w:rPr>
                <w:rFonts w:ascii="Arial" w:hAnsi="Arial" w:cs="Arial"/>
                <w:color w:val="000000"/>
                <w:sz w:val="20"/>
                <w:szCs w:val="20"/>
              </w:rPr>
              <w:t xml:space="preserve"> </w:t>
            </w:r>
            <w:r w:rsidRPr="00DA4DC0">
              <w:rPr>
                <w:rFonts w:ascii="Arial" w:hAnsi="Arial" w:cs="Arial"/>
                <w:color w:val="000000"/>
                <w:sz w:val="20"/>
                <w:szCs w:val="20"/>
              </w:rPr>
              <w:t>gasto público total a la educación, incluyendo al menos el 4% para el AEA.</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DA4DC0">
              <w:rPr>
                <w:rFonts w:ascii="Arial" w:hAnsi="Arial" w:cs="Arial"/>
                <w:color w:val="000000"/>
                <w:sz w:val="20"/>
                <w:szCs w:val="20"/>
              </w:rPr>
              <w:t>Considerando el papel que desempeña la cooperación internacional para alcanzar un nivel</w:t>
            </w:r>
            <w:r>
              <w:rPr>
                <w:rFonts w:ascii="Arial" w:hAnsi="Arial" w:cs="Arial"/>
                <w:color w:val="000000"/>
                <w:sz w:val="20"/>
                <w:szCs w:val="20"/>
              </w:rPr>
              <w:t xml:space="preserve"> </w:t>
            </w:r>
            <w:r w:rsidRPr="00DA4DC0">
              <w:rPr>
                <w:rFonts w:ascii="Arial" w:hAnsi="Arial" w:cs="Arial"/>
                <w:color w:val="000000"/>
                <w:sz w:val="20"/>
                <w:szCs w:val="20"/>
              </w:rPr>
              <w:t>adecuado de financiamiento para el AEA y teniendo en cuenta la contribución potencial del</w:t>
            </w:r>
            <w:r>
              <w:rPr>
                <w:rFonts w:ascii="Arial" w:hAnsi="Arial" w:cs="Arial"/>
                <w:color w:val="000000"/>
                <w:sz w:val="20"/>
                <w:szCs w:val="20"/>
              </w:rPr>
              <w:t xml:space="preserve"> </w:t>
            </w:r>
            <w:r w:rsidRPr="00DA4DC0">
              <w:rPr>
                <w:rFonts w:ascii="Arial" w:hAnsi="Arial" w:cs="Arial"/>
                <w:color w:val="000000"/>
                <w:sz w:val="20"/>
                <w:szCs w:val="20"/>
              </w:rPr>
              <w:t>AEA a los 17 ODS, hacemos un llamado a la ampliación del alcance de los mecanismos</w:t>
            </w:r>
            <w:r>
              <w:rPr>
                <w:rFonts w:ascii="Arial" w:hAnsi="Arial" w:cs="Arial"/>
                <w:color w:val="000000"/>
                <w:sz w:val="20"/>
                <w:szCs w:val="20"/>
              </w:rPr>
              <w:t xml:space="preserve"> </w:t>
            </w:r>
            <w:r w:rsidRPr="00DA4DC0">
              <w:rPr>
                <w:rFonts w:ascii="Arial" w:hAnsi="Arial" w:cs="Arial"/>
                <w:color w:val="000000"/>
                <w:sz w:val="20"/>
                <w:szCs w:val="20"/>
              </w:rPr>
              <w:t>mundiales de financiamiento de la cooperación al desarrollo en materia de educación, de</w:t>
            </w:r>
            <w:r>
              <w:rPr>
                <w:rFonts w:ascii="Arial" w:hAnsi="Arial" w:cs="Arial"/>
                <w:color w:val="000000"/>
                <w:sz w:val="20"/>
                <w:szCs w:val="20"/>
              </w:rPr>
              <w:t xml:space="preserve"> </w:t>
            </w:r>
            <w:r w:rsidRPr="00DA4DC0">
              <w:rPr>
                <w:rFonts w:ascii="Arial" w:hAnsi="Arial" w:cs="Arial"/>
                <w:color w:val="000000"/>
                <w:sz w:val="20"/>
                <w:szCs w:val="20"/>
              </w:rPr>
              <w:t>modo que incluyan el AEA. Siguiendo el espíritu de la Agenda 2030, también hacemos un</w:t>
            </w:r>
            <w:r>
              <w:rPr>
                <w:rFonts w:ascii="Arial" w:hAnsi="Arial" w:cs="Arial"/>
                <w:color w:val="000000"/>
                <w:sz w:val="20"/>
                <w:szCs w:val="20"/>
              </w:rPr>
              <w:t xml:space="preserve"> </w:t>
            </w:r>
            <w:r w:rsidRPr="00DA4DC0">
              <w:rPr>
                <w:rFonts w:ascii="Arial" w:hAnsi="Arial" w:cs="Arial"/>
                <w:color w:val="000000"/>
                <w:sz w:val="20"/>
                <w:szCs w:val="20"/>
              </w:rPr>
              <w:t>llamamiento a los fondos mundiales existentes para la educación, concretamente a la Alianza</w:t>
            </w:r>
            <w:r>
              <w:rPr>
                <w:rFonts w:ascii="Arial" w:hAnsi="Arial" w:cs="Arial"/>
                <w:color w:val="000000"/>
                <w:sz w:val="20"/>
                <w:szCs w:val="20"/>
              </w:rPr>
              <w:t xml:space="preserve"> </w:t>
            </w:r>
            <w:r w:rsidRPr="00DA4DC0">
              <w:rPr>
                <w:rFonts w:ascii="Arial" w:hAnsi="Arial" w:cs="Arial"/>
                <w:color w:val="000000"/>
                <w:sz w:val="20"/>
                <w:szCs w:val="20"/>
              </w:rPr>
              <w:t>Mundial por la Educación y a La Educación No Puede Esperar, para que incluyan el AEA en las</w:t>
            </w:r>
            <w:r>
              <w:rPr>
                <w:rFonts w:ascii="Arial" w:hAnsi="Arial" w:cs="Arial"/>
                <w:color w:val="000000"/>
                <w:sz w:val="20"/>
                <w:szCs w:val="20"/>
              </w:rPr>
              <w:t xml:space="preserve"> </w:t>
            </w:r>
            <w:r w:rsidRPr="00DA4DC0">
              <w:rPr>
                <w:rFonts w:ascii="Arial" w:hAnsi="Arial" w:cs="Arial"/>
                <w:color w:val="000000"/>
                <w:sz w:val="20"/>
                <w:szCs w:val="20"/>
              </w:rPr>
              <w:t>estrategias, las prioridades y financiamiento, así como en el apoyo que prestan a sus países</w:t>
            </w:r>
            <w:r>
              <w:rPr>
                <w:rFonts w:ascii="Arial" w:hAnsi="Arial" w:cs="Arial"/>
                <w:color w:val="000000"/>
                <w:sz w:val="20"/>
                <w:szCs w:val="20"/>
              </w:rPr>
              <w:t xml:space="preserve"> </w:t>
            </w:r>
            <w:r w:rsidRPr="00DA4DC0">
              <w:rPr>
                <w:rFonts w:ascii="Arial" w:hAnsi="Arial" w:cs="Arial"/>
                <w:color w:val="000000"/>
                <w:sz w:val="20"/>
                <w:szCs w:val="20"/>
              </w:rPr>
              <w:t>asociados.</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Promover la inclusión</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 comprometemos a situar la diversidad, incluida la diversidad lingüística, la inclusión y la</w:t>
            </w:r>
            <w:r>
              <w:rPr>
                <w:rFonts w:ascii="Arial" w:hAnsi="Arial" w:cs="Arial"/>
                <w:color w:val="000000"/>
                <w:sz w:val="20"/>
                <w:szCs w:val="20"/>
              </w:rPr>
              <w:t xml:space="preserve"> </w:t>
            </w:r>
            <w:r w:rsidRPr="00DA4DC0">
              <w:rPr>
                <w:rFonts w:ascii="Arial" w:hAnsi="Arial" w:cs="Arial"/>
                <w:color w:val="000000"/>
                <w:sz w:val="20"/>
                <w:szCs w:val="20"/>
              </w:rPr>
              <w:t>equidad en el centro de nuestros esfuerzos, reconociéndolas como una prioridad para</w:t>
            </w:r>
            <w:r>
              <w:rPr>
                <w:rFonts w:ascii="Arial" w:hAnsi="Arial" w:cs="Arial"/>
                <w:color w:val="000000"/>
                <w:sz w:val="20"/>
                <w:szCs w:val="20"/>
              </w:rPr>
              <w:t xml:space="preserve"> </w:t>
            </w:r>
            <w:r w:rsidRPr="00DA4DC0">
              <w:rPr>
                <w:rFonts w:ascii="Arial" w:hAnsi="Arial" w:cs="Arial"/>
                <w:color w:val="000000"/>
                <w:sz w:val="20"/>
                <w:szCs w:val="20"/>
              </w:rPr>
              <w:t>aumentar la motivación y la participación en el AEA, así como el acceso al mismo, entre las</w:t>
            </w:r>
            <w:r>
              <w:rPr>
                <w:rFonts w:ascii="Arial" w:hAnsi="Arial" w:cs="Arial"/>
                <w:color w:val="000000"/>
                <w:sz w:val="20"/>
                <w:szCs w:val="20"/>
              </w:rPr>
              <w:t xml:space="preserve"> </w:t>
            </w:r>
            <w:r w:rsidRPr="00DA4DC0">
              <w:rPr>
                <w:rFonts w:ascii="Arial" w:hAnsi="Arial" w:cs="Arial"/>
                <w:color w:val="000000"/>
                <w:sz w:val="20"/>
                <w:szCs w:val="20"/>
              </w:rPr>
              <w:t>personas marginadas o desfavorecidas, los grupos y las comunidades vulnerables. Este</w:t>
            </w:r>
            <w:r>
              <w:rPr>
                <w:rFonts w:ascii="Arial" w:hAnsi="Arial" w:cs="Arial"/>
                <w:color w:val="000000"/>
                <w:sz w:val="20"/>
                <w:szCs w:val="20"/>
              </w:rPr>
              <w:t xml:space="preserve"> </w:t>
            </w:r>
            <w:r w:rsidRPr="00DA4DC0">
              <w:rPr>
                <w:rFonts w:ascii="Arial" w:hAnsi="Arial" w:cs="Arial"/>
                <w:color w:val="000000"/>
                <w:sz w:val="20"/>
                <w:szCs w:val="20"/>
              </w:rPr>
              <w:t>compromiso se deriva de la reafirmación de la educación como un derecho humano, que</w:t>
            </w:r>
            <w:r>
              <w:rPr>
                <w:rFonts w:ascii="Arial" w:hAnsi="Arial" w:cs="Arial"/>
                <w:color w:val="000000"/>
                <w:sz w:val="20"/>
                <w:szCs w:val="20"/>
              </w:rPr>
              <w:t xml:space="preserve"> </w:t>
            </w:r>
            <w:r w:rsidRPr="00DA4DC0">
              <w:rPr>
                <w:rFonts w:ascii="Arial" w:hAnsi="Arial" w:cs="Arial"/>
                <w:color w:val="000000"/>
                <w:sz w:val="20"/>
                <w:szCs w:val="20"/>
              </w:rPr>
              <w:t>incluye el derecho a la participación como facilitador del empoderamiento y la ciudadanía</w:t>
            </w:r>
            <w:r>
              <w:rPr>
                <w:rFonts w:ascii="Arial" w:hAnsi="Arial" w:cs="Arial"/>
                <w:color w:val="000000"/>
                <w:sz w:val="20"/>
                <w:szCs w:val="20"/>
              </w:rPr>
              <w:t xml:space="preserve"> </w:t>
            </w:r>
            <w:r w:rsidRPr="00DA4DC0">
              <w:rPr>
                <w:rFonts w:ascii="Arial" w:hAnsi="Arial" w:cs="Arial"/>
                <w:color w:val="000000"/>
                <w:sz w:val="20"/>
                <w:szCs w:val="20"/>
              </w:rPr>
              <w:t>activa y mundial.</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DA4DC0">
              <w:rPr>
                <w:rFonts w:ascii="Arial" w:hAnsi="Arial" w:cs="Arial"/>
                <w:color w:val="000000"/>
                <w:sz w:val="20"/>
                <w:szCs w:val="20"/>
              </w:rPr>
              <w:t>Nos comprometemos a establecer y aplicar sistemas de información confiables, válidos,</w:t>
            </w:r>
            <w:r>
              <w:rPr>
                <w:rFonts w:ascii="Arial" w:hAnsi="Arial" w:cs="Arial"/>
                <w:color w:val="000000"/>
                <w:sz w:val="20"/>
                <w:szCs w:val="20"/>
              </w:rPr>
              <w:t xml:space="preserve"> </w:t>
            </w:r>
            <w:r w:rsidRPr="00DA4DC0">
              <w:rPr>
                <w:rFonts w:ascii="Arial" w:hAnsi="Arial" w:cs="Arial"/>
                <w:color w:val="000000"/>
                <w:sz w:val="20"/>
                <w:szCs w:val="20"/>
              </w:rPr>
              <w:t xml:space="preserve">transparentes y accesibles, que tengan en cuenta las </w:t>
            </w:r>
            <w:r w:rsidRPr="00DA4DC0">
              <w:rPr>
                <w:rFonts w:ascii="Arial" w:hAnsi="Arial" w:cs="Arial"/>
                <w:color w:val="000000"/>
                <w:sz w:val="20"/>
                <w:szCs w:val="20"/>
              </w:rPr>
              <w:lastRenderedPageBreak/>
              <w:t>cuestiones de género en el ámbito del</w:t>
            </w:r>
            <w:r>
              <w:rPr>
                <w:rFonts w:ascii="Arial" w:hAnsi="Arial" w:cs="Arial"/>
                <w:color w:val="000000"/>
                <w:sz w:val="20"/>
                <w:szCs w:val="20"/>
              </w:rPr>
              <w:t xml:space="preserve"> </w:t>
            </w:r>
            <w:r w:rsidRPr="00DA4DC0">
              <w:rPr>
                <w:rFonts w:ascii="Arial" w:hAnsi="Arial" w:cs="Arial"/>
                <w:color w:val="000000"/>
                <w:sz w:val="20"/>
                <w:szCs w:val="20"/>
              </w:rPr>
              <w:t>AEA y que permitan el seguimiento de los avances en materia de participación, centrándose</w:t>
            </w:r>
            <w:r>
              <w:rPr>
                <w:rFonts w:ascii="Arial" w:hAnsi="Arial" w:cs="Arial"/>
                <w:color w:val="000000"/>
                <w:sz w:val="20"/>
                <w:szCs w:val="20"/>
              </w:rPr>
              <w:t xml:space="preserve"> </w:t>
            </w:r>
            <w:r w:rsidRPr="00DA4DC0">
              <w:rPr>
                <w:rFonts w:ascii="Arial" w:hAnsi="Arial" w:cs="Arial"/>
                <w:color w:val="000000"/>
                <w:sz w:val="20"/>
                <w:szCs w:val="20"/>
              </w:rPr>
              <w:t>en las poblaciones desatendidas, así como a facilitar el intercambio de conocimientos entre</w:t>
            </w:r>
            <w:r>
              <w:rPr>
                <w:rFonts w:ascii="Arial" w:hAnsi="Arial" w:cs="Arial"/>
                <w:color w:val="000000"/>
                <w:sz w:val="20"/>
                <w:szCs w:val="20"/>
              </w:rPr>
              <w:t xml:space="preserve"> </w:t>
            </w:r>
            <w:r w:rsidRPr="00DA4DC0">
              <w:rPr>
                <w:rFonts w:ascii="Arial" w:hAnsi="Arial" w:cs="Arial"/>
                <w:color w:val="000000"/>
                <w:sz w:val="20"/>
                <w:szCs w:val="20"/>
              </w:rPr>
              <w:t>las instituciones gubernamentales y no gubernamentales, la academia, la sociedad civil y, a</w:t>
            </w:r>
            <w:r>
              <w:rPr>
                <w:rFonts w:ascii="Arial" w:hAnsi="Arial" w:cs="Arial"/>
                <w:color w:val="000000"/>
                <w:sz w:val="20"/>
                <w:szCs w:val="20"/>
              </w:rPr>
              <w:t xml:space="preserve"> </w:t>
            </w:r>
            <w:r w:rsidRPr="00DA4DC0">
              <w:rPr>
                <w:rFonts w:ascii="Arial" w:hAnsi="Arial" w:cs="Arial"/>
                <w:color w:val="000000"/>
                <w:sz w:val="20"/>
                <w:szCs w:val="20"/>
              </w:rPr>
              <w:t>nivel internacional, entre los Estados miembros.</w:t>
            </w:r>
          </w:p>
          <w:p w:rsidR="00DD69B0" w:rsidRPr="00DD69B0" w:rsidRDefault="00DD69B0" w:rsidP="00DD69B0">
            <w:pPr>
              <w:autoSpaceDE w:val="0"/>
              <w:autoSpaceDN w:val="0"/>
              <w:adjustRightInd w:val="0"/>
              <w:spacing w:line="276" w:lineRule="auto"/>
              <w:jc w:val="both"/>
              <w:rPr>
                <w:rFonts w:ascii="Arial" w:hAnsi="Arial" w:cs="Arial"/>
                <w:color w:val="0000CC"/>
                <w:sz w:val="20"/>
                <w:szCs w:val="20"/>
                <w:u w:val="single"/>
              </w:rPr>
            </w:pPr>
            <w:r w:rsidRPr="00DD69B0">
              <w:rPr>
                <w:rFonts w:ascii="Arial" w:hAnsi="Arial" w:cs="Arial"/>
                <w:color w:val="0000CC"/>
                <w:sz w:val="20"/>
                <w:szCs w:val="20"/>
                <w:u w:val="single"/>
              </w:rPr>
              <w:t>Ampliación de los ámbitos de aprendizaje</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 comprometemos a redoblar nuestros esfuerzos para imaginar e implementar la</w:t>
            </w:r>
            <w:r>
              <w:rPr>
                <w:rFonts w:ascii="Arial" w:hAnsi="Arial" w:cs="Arial"/>
                <w:color w:val="000000"/>
                <w:sz w:val="20"/>
                <w:szCs w:val="20"/>
              </w:rPr>
              <w:t xml:space="preserve"> </w:t>
            </w:r>
            <w:r w:rsidRPr="00DA4DC0">
              <w:rPr>
                <w:rFonts w:ascii="Arial" w:hAnsi="Arial" w:cs="Arial"/>
                <w:color w:val="000000"/>
                <w:sz w:val="20"/>
                <w:szCs w:val="20"/>
              </w:rPr>
              <w:t>alfabetización como base del AEA para el futuro, identificando los desafíos persistentes en</w:t>
            </w:r>
            <w:r>
              <w:rPr>
                <w:rFonts w:ascii="Arial" w:hAnsi="Arial" w:cs="Arial"/>
                <w:color w:val="000000"/>
                <w:sz w:val="20"/>
                <w:szCs w:val="20"/>
              </w:rPr>
              <w:t xml:space="preserve"> </w:t>
            </w:r>
            <w:r w:rsidRPr="00DA4DC0">
              <w:rPr>
                <w:rFonts w:ascii="Arial" w:hAnsi="Arial" w:cs="Arial"/>
                <w:color w:val="000000"/>
                <w:sz w:val="20"/>
                <w:szCs w:val="20"/>
              </w:rPr>
              <w:t>materia de alfabetización, pidiendo que se amplíe la noción del concepto como clave para el</w:t>
            </w:r>
            <w:r>
              <w:rPr>
                <w:rFonts w:ascii="Arial" w:hAnsi="Arial" w:cs="Arial"/>
                <w:color w:val="000000"/>
                <w:sz w:val="20"/>
                <w:szCs w:val="20"/>
              </w:rPr>
              <w:t xml:space="preserve"> </w:t>
            </w:r>
            <w:r w:rsidRPr="00DA4DC0">
              <w:rPr>
                <w:rFonts w:ascii="Arial" w:hAnsi="Arial" w:cs="Arial"/>
                <w:color w:val="000000"/>
                <w:sz w:val="20"/>
                <w:szCs w:val="20"/>
              </w:rPr>
              <w:t>futuro de la humanidad, e identificando áreas de acción y mejora para la alfabetización de</w:t>
            </w:r>
            <w:r>
              <w:rPr>
                <w:rFonts w:ascii="Arial" w:hAnsi="Arial" w:cs="Arial"/>
                <w:color w:val="000000"/>
                <w:sz w:val="20"/>
                <w:szCs w:val="20"/>
              </w:rPr>
              <w:t xml:space="preserve"> </w:t>
            </w:r>
            <w:r w:rsidRPr="00DA4DC0">
              <w:rPr>
                <w:rFonts w:ascii="Arial" w:hAnsi="Arial" w:cs="Arial"/>
                <w:color w:val="000000"/>
                <w:sz w:val="20"/>
                <w:szCs w:val="20"/>
              </w:rPr>
              <w:t>jóvenes y adultos. Estas áreas incluyen el establecimiento de políticas de alfabetización</w:t>
            </w:r>
            <w:r>
              <w:rPr>
                <w:rFonts w:ascii="Arial" w:hAnsi="Arial" w:cs="Arial"/>
                <w:color w:val="000000"/>
                <w:sz w:val="20"/>
                <w:szCs w:val="20"/>
              </w:rPr>
              <w:t xml:space="preserve"> </w:t>
            </w:r>
            <w:r w:rsidRPr="00DA4DC0">
              <w:rPr>
                <w:rFonts w:ascii="Arial" w:hAnsi="Arial" w:cs="Arial"/>
                <w:color w:val="000000"/>
                <w:sz w:val="20"/>
                <w:szCs w:val="20"/>
              </w:rPr>
              <w:t>integrales, intersectoriales e inclusivas, y estrategias de implementación de políticas, la</w:t>
            </w:r>
            <w:r>
              <w:rPr>
                <w:rFonts w:ascii="Arial" w:hAnsi="Arial" w:cs="Arial"/>
                <w:color w:val="000000"/>
                <w:sz w:val="20"/>
                <w:szCs w:val="20"/>
              </w:rPr>
              <w:t xml:space="preserve"> </w:t>
            </w:r>
            <w:r w:rsidRPr="00DA4DC0">
              <w:rPr>
                <w:rFonts w:ascii="Arial" w:hAnsi="Arial" w:cs="Arial"/>
                <w:color w:val="000000"/>
                <w:sz w:val="20"/>
                <w:szCs w:val="20"/>
              </w:rPr>
              <w:t>comprensión de por qué y cómo desarrollar las habilidades y competencias de alfabetización</w:t>
            </w:r>
            <w:r>
              <w:rPr>
                <w:rFonts w:ascii="Arial" w:hAnsi="Arial" w:cs="Arial"/>
                <w:color w:val="000000"/>
                <w:sz w:val="20"/>
                <w:szCs w:val="20"/>
              </w:rPr>
              <w:t xml:space="preserve"> </w:t>
            </w:r>
            <w:r w:rsidRPr="00DA4DC0">
              <w:rPr>
                <w:rFonts w:ascii="Arial" w:hAnsi="Arial" w:cs="Arial"/>
                <w:color w:val="000000"/>
                <w:sz w:val="20"/>
                <w:szCs w:val="20"/>
              </w:rPr>
              <w:t>y aritmética, así como otras habilidades fundamentales, y el uso de evidencias completas y</w:t>
            </w:r>
            <w:r>
              <w:rPr>
                <w:rFonts w:ascii="Arial" w:hAnsi="Arial" w:cs="Arial"/>
                <w:color w:val="000000"/>
                <w:sz w:val="20"/>
                <w:szCs w:val="20"/>
              </w:rPr>
              <w:t xml:space="preserve"> </w:t>
            </w:r>
            <w:r w:rsidRPr="00DA4DC0">
              <w:rPr>
                <w:rFonts w:ascii="Arial" w:hAnsi="Arial" w:cs="Arial"/>
                <w:color w:val="000000"/>
                <w:sz w:val="20"/>
                <w:szCs w:val="20"/>
              </w:rPr>
              <w:t>fiables para justificar las inversiones públicas y de otro tipo en la alfabetización.</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Reconocemos que el lugar de trabajo constituye un import</w:t>
            </w:r>
            <w:r>
              <w:rPr>
                <w:rFonts w:ascii="Arial" w:hAnsi="Arial" w:cs="Arial"/>
                <w:color w:val="000000"/>
                <w:sz w:val="20"/>
                <w:szCs w:val="20"/>
              </w:rPr>
              <w:t xml:space="preserve">ante espacio de aprendizaje. El </w:t>
            </w:r>
            <w:r w:rsidRPr="00833764">
              <w:rPr>
                <w:rFonts w:ascii="Arial" w:hAnsi="Arial" w:cs="Arial"/>
                <w:color w:val="000000"/>
                <w:sz w:val="20"/>
                <w:szCs w:val="20"/>
              </w:rPr>
              <w:t>establecimiento de una cultura de aprendizaje a lo largo de toda la vida en el trabajo es</w:t>
            </w:r>
            <w:r>
              <w:rPr>
                <w:rFonts w:ascii="Arial" w:hAnsi="Arial" w:cs="Arial"/>
                <w:color w:val="000000"/>
                <w:sz w:val="20"/>
                <w:szCs w:val="20"/>
              </w:rPr>
              <w:t xml:space="preserve"> </w:t>
            </w:r>
            <w:r w:rsidRPr="00DA4DC0">
              <w:rPr>
                <w:rFonts w:ascii="Arial" w:hAnsi="Arial" w:cs="Arial"/>
                <w:color w:val="000000"/>
                <w:sz w:val="20"/>
                <w:szCs w:val="20"/>
              </w:rPr>
              <w:t>imperativo para ayudar a los trabajadores a conseguir y mantener un trabajo decente, a</w:t>
            </w:r>
            <w:r>
              <w:rPr>
                <w:rFonts w:ascii="Arial" w:hAnsi="Arial" w:cs="Arial"/>
                <w:color w:val="000000"/>
                <w:sz w:val="20"/>
                <w:szCs w:val="20"/>
              </w:rPr>
              <w:t xml:space="preserve"> </w:t>
            </w:r>
            <w:r w:rsidRPr="00DA4DC0">
              <w:rPr>
                <w:rFonts w:ascii="Arial" w:hAnsi="Arial" w:cs="Arial"/>
                <w:color w:val="000000"/>
                <w:sz w:val="20"/>
                <w:szCs w:val="20"/>
              </w:rPr>
              <w:t>adaptarse a las nuevas exigencias laborales, y a lograr el desarrollo y la realización personal.</w:t>
            </w:r>
            <w:r>
              <w:rPr>
                <w:rFonts w:ascii="Arial" w:hAnsi="Arial" w:cs="Arial"/>
                <w:color w:val="000000"/>
                <w:sz w:val="20"/>
                <w:szCs w:val="20"/>
              </w:rPr>
              <w:t xml:space="preserve"> </w:t>
            </w:r>
            <w:r w:rsidRPr="00DA4DC0">
              <w:rPr>
                <w:rFonts w:ascii="Arial" w:hAnsi="Arial" w:cs="Arial"/>
                <w:color w:val="000000"/>
                <w:sz w:val="20"/>
                <w:szCs w:val="20"/>
              </w:rPr>
              <w:t>También reconocemos que el aprendizaje en el lugar de trabajo debe contribuir a la</w:t>
            </w:r>
            <w:r>
              <w:rPr>
                <w:rFonts w:ascii="Arial" w:hAnsi="Arial" w:cs="Arial"/>
                <w:color w:val="000000"/>
                <w:sz w:val="20"/>
                <w:szCs w:val="20"/>
              </w:rPr>
              <w:t xml:space="preserve"> </w:t>
            </w:r>
            <w:r w:rsidRPr="00DA4DC0">
              <w:rPr>
                <w:rFonts w:ascii="Arial" w:hAnsi="Arial" w:cs="Arial"/>
                <w:color w:val="000000"/>
                <w:sz w:val="20"/>
                <w:szCs w:val="20"/>
              </w:rPr>
              <w:t>construcción de sociedades más inclusivas y justas. Por lo tanto, nos comprometemos a</w:t>
            </w:r>
            <w:r>
              <w:rPr>
                <w:rFonts w:ascii="Arial" w:hAnsi="Arial" w:cs="Arial"/>
                <w:color w:val="000000"/>
                <w:sz w:val="20"/>
                <w:szCs w:val="20"/>
              </w:rPr>
              <w:t xml:space="preserve"> </w:t>
            </w:r>
            <w:r w:rsidRPr="00DA4DC0">
              <w:rPr>
                <w:rFonts w:ascii="Arial" w:hAnsi="Arial" w:cs="Arial"/>
                <w:color w:val="000000"/>
                <w:sz w:val="20"/>
                <w:szCs w:val="20"/>
              </w:rPr>
              <w:t>promover el diálogo social y a establecer estructuras de incentivos para aumentar la</w:t>
            </w:r>
            <w:r>
              <w:rPr>
                <w:rFonts w:ascii="Arial" w:hAnsi="Arial" w:cs="Arial"/>
                <w:color w:val="000000"/>
                <w:sz w:val="20"/>
                <w:szCs w:val="20"/>
              </w:rPr>
              <w:t xml:space="preserve"> </w:t>
            </w:r>
            <w:r w:rsidRPr="00DA4DC0">
              <w:rPr>
                <w:rFonts w:ascii="Arial" w:hAnsi="Arial" w:cs="Arial"/>
                <w:color w:val="000000"/>
                <w:sz w:val="20"/>
                <w:szCs w:val="20"/>
              </w:rPr>
              <w:t>participación de los adultos, hombres y mujeres, en el aprendizaje en el lugar de trabajo.</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DA4DC0">
              <w:rPr>
                <w:rFonts w:ascii="Arial" w:hAnsi="Arial" w:cs="Arial"/>
                <w:color w:val="000000"/>
                <w:sz w:val="20"/>
                <w:szCs w:val="20"/>
              </w:rPr>
              <w:t>Con nuestra reciente experiencia común de la pandemia de COVID-19, afirmamos la</w:t>
            </w:r>
            <w:r>
              <w:rPr>
                <w:rFonts w:ascii="Arial" w:hAnsi="Arial" w:cs="Arial"/>
                <w:color w:val="000000"/>
                <w:sz w:val="20"/>
                <w:szCs w:val="20"/>
              </w:rPr>
              <w:t xml:space="preserve"> </w:t>
            </w:r>
            <w:r w:rsidRPr="00DA4DC0">
              <w:rPr>
                <w:rFonts w:ascii="Arial" w:hAnsi="Arial" w:cs="Arial"/>
                <w:color w:val="000000"/>
                <w:sz w:val="20"/>
                <w:szCs w:val="20"/>
              </w:rPr>
              <w:t>importancia del aprendizaje para la salud individual y pública. Nos comprometemos a</w:t>
            </w:r>
            <w:r>
              <w:rPr>
                <w:rFonts w:ascii="Arial" w:hAnsi="Arial" w:cs="Arial"/>
                <w:color w:val="000000"/>
                <w:sz w:val="20"/>
                <w:szCs w:val="20"/>
              </w:rPr>
              <w:t xml:space="preserve"> </w:t>
            </w:r>
            <w:r w:rsidRPr="00DA4DC0">
              <w:rPr>
                <w:rFonts w:ascii="Arial" w:hAnsi="Arial" w:cs="Arial"/>
                <w:color w:val="000000"/>
                <w:sz w:val="20"/>
                <w:szCs w:val="20"/>
              </w:rPr>
              <w:t>reforzar estas dimensiones, garantizando así que los jóvenes y los adultos tengan más</w:t>
            </w:r>
            <w:r>
              <w:rPr>
                <w:rFonts w:ascii="Arial" w:hAnsi="Arial" w:cs="Arial"/>
                <w:color w:val="000000"/>
                <w:sz w:val="20"/>
                <w:szCs w:val="20"/>
              </w:rPr>
              <w:t xml:space="preserve"> </w:t>
            </w:r>
            <w:r w:rsidRPr="00DA4DC0">
              <w:rPr>
                <w:rFonts w:ascii="Arial" w:hAnsi="Arial" w:cs="Arial"/>
                <w:color w:val="000000"/>
                <w:sz w:val="20"/>
                <w:szCs w:val="20"/>
              </w:rPr>
              <w:t>elementos para proteger su salud y mejorar su bienestar mental y físico individual, y la salud</w:t>
            </w:r>
            <w:r>
              <w:rPr>
                <w:rFonts w:ascii="Arial" w:hAnsi="Arial" w:cs="Arial"/>
                <w:color w:val="000000"/>
                <w:sz w:val="20"/>
                <w:szCs w:val="20"/>
              </w:rPr>
              <w:t xml:space="preserve"> </w:t>
            </w:r>
            <w:r w:rsidRPr="00DA4DC0">
              <w:rPr>
                <w:rFonts w:ascii="Arial" w:hAnsi="Arial" w:cs="Arial"/>
                <w:color w:val="000000"/>
                <w:sz w:val="20"/>
                <w:szCs w:val="20"/>
              </w:rPr>
              <w:t>y el bienestar de sus comunidades locales. Destacamos además el papel de la ciudadanía</w:t>
            </w:r>
            <w:r>
              <w:rPr>
                <w:rFonts w:ascii="Arial" w:hAnsi="Arial" w:cs="Arial"/>
                <w:color w:val="000000"/>
                <w:sz w:val="20"/>
                <w:szCs w:val="20"/>
              </w:rPr>
              <w:t xml:space="preserve"> </w:t>
            </w:r>
            <w:r w:rsidRPr="00DA4DC0">
              <w:rPr>
                <w:rFonts w:ascii="Arial" w:hAnsi="Arial" w:cs="Arial"/>
                <w:color w:val="000000"/>
                <w:sz w:val="20"/>
                <w:szCs w:val="20"/>
              </w:rPr>
              <w:t>activa y mundial y de la alfabetización mediática para hacer frente a una serie de profundos</w:t>
            </w:r>
            <w:r>
              <w:rPr>
                <w:rFonts w:ascii="Arial" w:hAnsi="Arial" w:cs="Arial"/>
                <w:color w:val="000000"/>
                <w:sz w:val="20"/>
                <w:szCs w:val="20"/>
              </w:rPr>
              <w:t xml:space="preserve"> </w:t>
            </w:r>
            <w:r w:rsidRPr="00DA4DC0">
              <w:rPr>
                <w:rFonts w:ascii="Arial" w:hAnsi="Arial" w:cs="Arial"/>
                <w:color w:val="000000"/>
                <w:sz w:val="20"/>
                <w:szCs w:val="20"/>
              </w:rPr>
              <w:t xml:space="preserve">desafíos y, por lo </w:t>
            </w:r>
            <w:r w:rsidRPr="00DA4DC0">
              <w:rPr>
                <w:rFonts w:ascii="Arial" w:hAnsi="Arial" w:cs="Arial"/>
                <w:color w:val="000000"/>
                <w:sz w:val="20"/>
                <w:szCs w:val="20"/>
              </w:rPr>
              <w:lastRenderedPageBreak/>
              <w:t>tanto, nos comprometemos aún más a reforzar la educación ciudadana para</w:t>
            </w:r>
            <w:r>
              <w:rPr>
                <w:rFonts w:ascii="Arial" w:hAnsi="Arial" w:cs="Arial"/>
                <w:color w:val="000000"/>
                <w:sz w:val="20"/>
                <w:szCs w:val="20"/>
              </w:rPr>
              <w:t xml:space="preserve"> </w:t>
            </w:r>
            <w:r w:rsidRPr="00DA4DC0">
              <w:rPr>
                <w:rFonts w:ascii="Arial" w:hAnsi="Arial" w:cs="Arial"/>
                <w:color w:val="000000"/>
                <w:sz w:val="20"/>
                <w:szCs w:val="20"/>
              </w:rPr>
              <w:t>los adultos. En respuesta a los numerosos riesgos a los que se enfrentan las sociedades en</w:t>
            </w:r>
            <w:r>
              <w:rPr>
                <w:rFonts w:ascii="Arial" w:hAnsi="Arial" w:cs="Arial"/>
                <w:color w:val="000000"/>
                <w:sz w:val="20"/>
                <w:szCs w:val="20"/>
              </w:rPr>
              <w:t xml:space="preserve"> </w:t>
            </w:r>
            <w:r w:rsidRPr="00DA4DC0">
              <w:rPr>
                <w:rFonts w:ascii="Arial" w:hAnsi="Arial" w:cs="Arial"/>
                <w:color w:val="000000"/>
                <w:sz w:val="20"/>
                <w:szCs w:val="20"/>
              </w:rPr>
              <w:t>todo el mundo (pandemias, extremismo violento, conflictos armados, pobreza extrema,</w:t>
            </w:r>
            <w:r>
              <w:rPr>
                <w:rFonts w:ascii="Arial" w:hAnsi="Arial" w:cs="Arial"/>
                <w:color w:val="000000"/>
                <w:sz w:val="20"/>
                <w:szCs w:val="20"/>
              </w:rPr>
              <w:t xml:space="preserve"> </w:t>
            </w:r>
            <w:r w:rsidRPr="00DA4DC0">
              <w:rPr>
                <w:rFonts w:ascii="Arial" w:hAnsi="Arial" w:cs="Arial"/>
                <w:color w:val="000000"/>
                <w:sz w:val="20"/>
                <w:szCs w:val="20"/>
              </w:rPr>
              <w:t>catástrofes naturales), las oportunidades de educación para la ciudadanía cultivarán las</w:t>
            </w:r>
            <w:r>
              <w:rPr>
                <w:rFonts w:ascii="Arial" w:hAnsi="Arial" w:cs="Arial"/>
                <w:color w:val="000000"/>
                <w:sz w:val="20"/>
                <w:szCs w:val="20"/>
              </w:rPr>
              <w:t xml:space="preserve"> </w:t>
            </w:r>
            <w:r w:rsidRPr="00DA4DC0">
              <w:rPr>
                <w:rFonts w:ascii="Arial" w:hAnsi="Arial" w:cs="Arial"/>
                <w:color w:val="000000"/>
                <w:sz w:val="20"/>
                <w:szCs w:val="20"/>
              </w:rPr>
              <w:t>capacidades de los educandos para evaluar de forma crítica la información (especialmente</w:t>
            </w:r>
            <w:r>
              <w:rPr>
                <w:rFonts w:ascii="Arial" w:hAnsi="Arial" w:cs="Arial"/>
                <w:color w:val="000000"/>
                <w:sz w:val="20"/>
                <w:szCs w:val="20"/>
              </w:rPr>
              <w:t xml:space="preserve"> las noticias falsas, el </w:t>
            </w:r>
            <w:proofErr w:type="spellStart"/>
            <w:r w:rsidRPr="00DA4DC0">
              <w:rPr>
                <w:rFonts w:ascii="Arial" w:hAnsi="Arial" w:cs="Arial"/>
                <w:color w:val="000000"/>
                <w:sz w:val="20"/>
                <w:szCs w:val="20"/>
              </w:rPr>
              <w:t>negacionismo</w:t>
            </w:r>
            <w:proofErr w:type="spellEnd"/>
            <w:r w:rsidRPr="00DA4DC0">
              <w:rPr>
                <w:rFonts w:ascii="Arial" w:hAnsi="Arial" w:cs="Arial"/>
                <w:color w:val="000000"/>
                <w:sz w:val="20"/>
                <w:szCs w:val="20"/>
              </w:rPr>
              <w:t xml:space="preserve"> científico y el mal uso de las redes sociales), tomar</w:t>
            </w:r>
            <w:r>
              <w:rPr>
                <w:rFonts w:ascii="Arial" w:hAnsi="Arial" w:cs="Arial"/>
                <w:color w:val="000000"/>
                <w:sz w:val="20"/>
                <w:szCs w:val="20"/>
              </w:rPr>
              <w:t xml:space="preserve"> </w:t>
            </w:r>
            <w:r w:rsidRPr="00DA4DC0">
              <w:rPr>
                <w:rFonts w:ascii="Arial" w:hAnsi="Arial" w:cs="Arial"/>
                <w:color w:val="000000"/>
                <w:sz w:val="20"/>
                <w:szCs w:val="20"/>
              </w:rPr>
              <w:t>decisiones informadas, desarrollar su capacidad de acción y contribuir de forma significativa</w:t>
            </w:r>
            <w:r>
              <w:rPr>
                <w:rFonts w:ascii="Arial" w:hAnsi="Arial" w:cs="Arial"/>
                <w:color w:val="000000"/>
                <w:sz w:val="20"/>
                <w:szCs w:val="20"/>
              </w:rPr>
              <w:t xml:space="preserve"> </w:t>
            </w:r>
            <w:r w:rsidRPr="00DA4DC0">
              <w:rPr>
                <w:rFonts w:ascii="Arial" w:hAnsi="Arial" w:cs="Arial"/>
                <w:color w:val="000000"/>
                <w:sz w:val="20"/>
                <w:szCs w:val="20"/>
              </w:rPr>
              <w:t>a sus comunidades locales. La educación para la ciudadanía también hace que los educandos</w:t>
            </w:r>
            <w:r>
              <w:rPr>
                <w:rFonts w:ascii="Arial" w:hAnsi="Arial" w:cs="Arial"/>
                <w:color w:val="000000"/>
                <w:sz w:val="20"/>
                <w:szCs w:val="20"/>
              </w:rPr>
              <w:t xml:space="preserve"> </w:t>
            </w:r>
            <w:r w:rsidRPr="00DA4DC0">
              <w:rPr>
                <w:rFonts w:ascii="Arial" w:hAnsi="Arial" w:cs="Arial"/>
                <w:color w:val="000000"/>
                <w:sz w:val="20"/>
                <w:szCs w:val="20"/>
              </w:rPr>
              <w:t>sean más resilientes frente a las dificultades.</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934513">
              <w:rPr>
                <w:rFonts w:ascii="Arial" w:hAnsi="Arial" w:cs="Arial"/>
                <w:color w:val="000000"/>
                <w:sz w:val="20"/>
                <w:szCs w:val="20"/>
              </w:rPr>
              <w:t>Reconociendo la urgencia y lo crucial de la acción climática para la sostenibilidad, nos</w:t>
            </w:r>
            <w:r>
              <w:rPr>
                <w:rFonts w:ascii="Arial" w:hAnsi="Arial" w:cs="Arial"/>
                <w:color w:val="000000"/>
                <w:sz w:val="20"/>
                <w:szCs w:val="20"/>
              </w:rPr>
              <w:t xml:space="preserve"> </w:t>
            </w:r>
            <w:r w:rsidRPr="00934513">
              <w:rPr>
                <w:rFonts w:ascii="Arial" w:hAnsi="Arial" w:cs="Arial"/>
                <w:color w:val="000000"/>
                <w:sz w:val="20"/>
                <w:szCs w:val="20"/>
              </w:rPr>
              <w:t>comprometemos a fomentar la concientización y la producción de conocimientos sobre los</w:t>
            </w:r>
            <w:r>
              <w:rPr>
                <w:rFonts w:ascii="Arial" w:hAnsi="Arial" w:cs="Arial"/>
                <w:color w:val="000000"/>
                <w:sz w:val="20"/>
                <w:szCs w:val="20"/>
              </w:rPr>
              <w:t xml:space="preserve"> </w:t>
            </w:r>
            <w:r w:rsidRPr="00934513">
              <w:rPr>
                <w:rFonts w:ascii="Arial" w:hAnsi="Arial" w:cs="Arial"/>
                <w:color w:val="000000"/>
                <w:sz w:val="20"/>
                <w:szCs w:val="20"/>
              </w:rPr>
              <w:t>efectos del cambio climático, de modo que los adultos puedan comprender mejor las</w:t>
            </w:r>
            <w:r>
              <w:rPr>
                <w:rFonts w:ascii="Arial" w:hAnsi="Arial" w:cs="Arial"/>
                <w:color w:val="000000"/>
                <w:sz w:val="20"/>
                <w:szCs w:val="20"/>
              </w:rPr>
              <w:t xml:space="preserve"> </w:t>
            </w:r>
            <w:r w:rsidRPr="00934513">
              <w:rPr>
                <w:rFonts w:ascii="Arial" w:hAnsi="Arial" w:cs="Arial"/>
                <w:color w:val="000000"/>
                <w:sz w:val="20"/>
                <w:szCs w:val="20"/>
              </w:rPr>
              <w:t>cuestiones urgentes del desarrollo sostenible y estén mejor capacitados para actuar como</w:t>
            </w:r>
            <w:r>
              <w:rPr>
                <w:rFonts w:ascii="Arial" w:hAnsi="Arial" w:cs="Arial"/>
                <w:color w:val="000000"/>
                <w:sz w:val="20"/>
                <w:szCs w:val="20"/>
              </w:rPr>
              <w:t xml:space="preserve"> </w:t>
            </w:r>
            <w:r w:rsidRPr="00934513">
              <w:rPr>
                <w:rFonts w:ascii="Arial" w:hAnsi="Arial" w:cs="Arial"/>
                <w:color w:val="000000"/>
                <w:sz w:val="20"/>
                <w:szCs w:val="20"/>
              </w:rPr>
              <w:t>ciudadanos empoderados, adaptar su patrón de consumo y su estilo de vida, y participar</w:t>
            </w:r>
            <w:r>
              <w:rPr>
                <w:rFonts w:ascii="Arial" w:hAnsi="Arial" w:cs="Arial"/>
                <w:color w:val="000000"/>
                <w:sz w:val="20"/>
                <w:szCs w:val="20"/>
              </w:rPr>
              <w:t xml:space="preserve"> </w:t>
            </w:r>
            <w:r w:rsidRPr="00934513">
              <w:rPr>
                <w:rFonts w:ascii="Arial" w:hAnsi="Arial" w:cs="Arial"/>
                <w:color w:val="000000"/>
                <w:sz w:val="20"/>
                <w:szCs w:val="20"/>
              </w:rPr>
              <w:t>activamente en iniciativas para proteger y preservar el medio ambiente.</w:t>
            </w:r>
          </w:p>
          <w:p w:rsid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934513">
              <w:rPr>
                <w:rFonts w:ascii="Arial" w:hAnsi="Arial" w:cs="Arial"/>
                <w:color w:val="000000"/>
                <w:sz w:val="20"/>
                <w:szCs w:val="20"/>
              </w:rPr>
              <w:t>Reconociendo el poderoso papel que desempeña la tecnología en el AEA, los Estados</w:t>
            </w:r>
            <w:r>
              <w:rPr>
                <w:rFonts w:ascii="Arial" w:hAnsi="Arial" w:cs="Arial"/>
                <w:color w:val="000000"/>
                <w:sz w:val="20"/>
                <w:szCs w:val="20"/>
              </w:rPr>
              <w:t xml:space="preserve"> </w:t>
            </w:r>
            <w:r w:rsidRPr="00934513">
              <w:rPr>
                <w:rFonts w:ascii="Arial" w:hAnsi="Arial" w:cs="Arial"/>
                <w:color w:val="000000"/>
                <w:sz w:val="20"/>
                <w:szCs w:val="20"/>
              </w:rPr>
              <w:t>miembros se comprometen a identificar formas de reducir la brecha digital y promover las</w:t>
            </w:r>
            <w:r>
              <w:rPr>
                <w:rFonts w:ascii="Arial" w:hAnsi="Arial" w:cs="Arial"/>
                <w:color w:val="000000"/>
                <w:sz w:val="20"/>
                <w:szCs w:val="20"/>
              </w:rPr>
              <w:t xml:space="preserve"> </w:t>
            </w:r>
            <w:r w:rsidRPr="00934513">
              <w:rPr>
                <w:rFonts w:ascii="Arial" w:hAnsi="Arial" w:cs="Arial"/>
                <w:color w:val="000000"/>
                <w:sz w:val="20"/>
                <w:szCs w:val="20"/>
              </w:rPr>
              <w:t>competencias digitales, así como a formular nuevas orientaciones para las alianzas de</w:t>
            </w:r>
            <w:r>
              <w:rPr>
                <w:rFonts w:ascii="Arial" w:hAnsi="Arial" w:cs="Arial"/>
                <w:color w:val="000000"/>
                <w:sz w:val="20"/>
                <w:szCs w:val="20"/>
              </w:rPr>
              <w:t xml:space="preserve"> </w:t>
            </w:r>
            <w:r w:rsidRPr="00934513">
              <w:rPr>
                <w:rFonts w:ascii="Arial" w:hAnsi="Arial" w:cs="Arial"/>
                <w:color w:val="000000"/>
                <w:sz w:val="20"/>
                <w:szCs w:val="20"/>
              </w:rPr>
              <w:t>aprendizaje basándose en los instrumentos normativos de la UNESCO que enmarcan el</w:t>
            </w:r>
            <w:r>
              <w:rPr>
                <w:rFonts w:ascii="Arial" w:hAnsi="Arial" w:cs="Arial"/>
                <w:color w:val="000000"/>
                <w:sz w:val="20"/>
                <w:szCs w:val="20"/>
              </w:rPr>
              <w:t xml:space="preserve"> </w:t>
            </w:r>
            <w:r w:rsidRPr="00934513">
              <w:rPr>
                <w:rFonts w:ascii="Arial" w:hAnsi="Arial" w:cs="Arial"/>
                <w:color w:val="000000"/>
                <w:sz w:val="20"/>
                <w:szCs w:val="20"/>
              </w:rPr>
              <w:t xml:space="preserve">acceso al conocimiento (la </w:t>
            </w:r>
            <w:r w:rsidRPr="00934513">
              <w:rPr>
                <w:rFonts w:ascii="Arial" w:hAnsi="Arial" w:cs="Arial"/>
                <w:i/>
                <w:iCs/>
                <w:color w:val="000000"/>
                <w:sz w:val="20"/>
                <w:szCs w:val="20"/>
              </w:rPr>
              <w:t>Recomendación Sobre los Recursos Educativos Abiertos</w:t>
            </w:r>
            <w:r w:rsidRPr="00934513">
              <w:rPr>
                <w:rFonts w:ascii="Arial" w:hAnsi="Arial" w:cs="Arial"/>
                <w:color w:val="000000"/>
                <w:sz w:val="20"/>
                <w:szCs w:val="20"/>
              </w:rPr>
              <w:t>, de 2019,</w:t>
            </w:r>
            <w:r>
              <w:rPr>
                <w:rFonts w:ascii="Arial" w:hAnsi="Arial" w:cs="Arial"/>
                <w:color w:val="000000"/>
                <w:sz w:val="20"/>
                <w:szCs w:val="20"/>
              </w:rPr>
              <w:t xml:space="preserve"> </w:t>
            </w:r>
            <w:r w:rsidRPr="00934513">
              <w:rPr>
                <w:rFonts w:ascii="Arial" w:hAnsi="Arial" w:cs="Arial"/>
                <w:color w:val="000000"/>
                <w:sz w:val="20"/>
                <w:szCs w:val="20"/>
              </w:rPr>
              <w:t xml:space="preserve">y la </w:t>
            </w:r>
            <w:r w:rsidRPr="00934513">
              <w:rPr>
                <w:rFonts w:ascii="Arial" w:hAnsi="Arial" w:cs="Arial"/>
                <w:i/>
                <w:iCs/>
                <w:color w:val="000000"/>
                <w:sz w:val="20"/>
                <w:szCs w:val="20"/>
              </w:rPr>
              <w:t>Recomendación de la UNESCO Sobre la Ciencia Abierta</w:t>
            </w:r>
            <w:r w:rsidRPr="00934513">
              <w:rPr>
                <w:rFonts w:ascii="Arial" w:hAnsi="Arial" w:cs="Arial"/>
                <w:color w:val="000000"/>
                <w:sz w:val="20"/>
                <w:szCs w:val="20"/>
              </w:rPr>
              <w:t>, de 2021), el uso de la IA (la</w:t>
            </w:r>
            <w:r>
              <w:rPr>
                <w:rFonts w:ascii="Arial" w:hAnsi="Arial" w:cs="Arial"/>
                <w:color w:val="000000"/>
                <w:sz w:val="20"/>
                <w:szCs w:val="20"/>
              </w:rPr>
              <w:t xml:space="preserve"> </w:t>
            </w:r>
            <w:r w:rsidRPr="00934513">
              <w:rPr>
                <w:rFonts w:ascii="Arial" w:hAnsi="Arial" w:cs="Arial"/>
                <w:i/>
                <w:iCs/>
                <w:color w:val="000000"/>
                <w:sz w:val="20"/>
                <w:szCs w:val="20"/>
              </w:rPr>
              <w:t>Recomendación Sobre la Ética de la Inteligencia Artificial</w:t>
            </w:r>
            <w:r w:rsidRPr="00934513">
              <w:rPr>
                <w:rFonts w:ascii="Arial" w:hAnsi="Arial" w:cs="Arial"/>
                <w:color w:val="000000"/>
                <w:sz w:val="20"/>
                <w:szCs w:val="20"/>
              </w:rPr>
              <w:t>, de 2021) y la conectividad para el</w:t>
            </w:r>
            <w:r>
              <w:rPr>
                <w:rFonts w:ascii="Arial" w:hAnsi="Arial" w:cs="Arial"/>
                <w:color w:val="000000"/>
                <w:sz w:val="20"/>
                <w:szCs w:val="20"/>
              </w:rPr>
              <w:t xml:space="preserve"> </w:t>
            </w:r>
            <w:r w:rsidRPr="00934513">
              <w:rPr>
                <w:rFonts w:ascii="Arial" w:hAnsi="Arial" w:cs="Arial"/>
                <w:color w:val="000000"/>
                <w:sz w:val="20"/>
                <w:szCs w:val="20"/>
              </w:rPr>
              <w:t xml:space="preserve">aprendizaje (la </w:t>
            </w:r>
            <w:r w:rsidRPr="00934513">
              <w:rPr>
                <w:rFonts w:ascii="Arial" w:hAnsi="Arial" w:cs="Arial"/>
                <w:i/>
                <w:iCs/>
                <w:color w:val="000000"/>
                <w:sz w:val="20"/>
                <w:szCs w:val="20"/>
              </w:rPr>
              <w:t xml:space="preserve">Declaración Mundial </w:t>
            </w:r>
            <w:proofErr w:type="spellStart"/>
            <w:r w:rsidRPr="00934513">
              <w:rPr>
                <w:rFonts w:ascii="Arial" w:hAnsi="Arial" w:cs="Arial"/>
                <w:i/>
                <w:iCs/>
                <w:color w:val="000000"/>
                <w:sz w:val="20"/>
                <w:szCs w:val="20"/>
              </w:rPr>
              <w:t>Rewired</w:t>
            </w:r>
            <w:proofErr w:type="spellEnd"/>
            <w:r w:rsidRPr="00934513">
              <w:rPr>
                <w:rFonts w:ascii="Arial" w:hAnsi="Arial" w:cs="Arial"/>
                <w:i/>
                <w:iCs/>
                <w:color w:val="000000"/>
                <w:sz w:val="20"/>
                <w:szCs w:val="20"/>
              </w:rPr>
              <w:t xml:space="preserve"> Sobre la Conectividad de la Enseñanza</w:t>
            </w:r>
            <w:r w:rsidRPr="00934513">
              <w:rPr>
                <w:rFonts w:ascii="Arial" w:hAnsi="Arial" w:cs="Arial"/>
                <w:color w:val="000000"/>
                <w:sz w:val="20"/>
                <w:szCs w:val="20"/>
              </w:rPr>
              <w:t>, de 2021).</w:t>
            </w:r>
            <w:r>
              <w:rPr>
                <w:rFonts w:ascii="Arial" w:hAnsi="Arial" w:cs="Arial"/>
                <w:color w:val="000000"/>
                <w:sz w:val="20"/>
                <w:szCs w:val="20"/>
              </w:rPr>
              <w:t xml:space="preserve"> </w:t>
            </w:r>
            <w:r w:rsidRPr="00BD1316">
              <w:rPr>
                <w:rFonts w:ascii="Arial" w:hAnsi="Arial" w:cs="Arial"/>
                <w:color w:val="000000"/>
                <w:sz w:val="20"/>
                <w:szCs w:val="20"/>
              </w:rPr>
              <w:t>Por lo tanto, además de promover el aprendizaje mixto, que es un medio eficaz para llegar a</w:t>
            </w:r>
            <w:r>
              <w:rPr>
                <w:rFonts w:ascii="Arial" w:hAnsi="Arial" w:cs="Arial"/>
                <w:color w:val="000000"/>
                <w:sz w:val="20"/>
                <w:szCs w:val="20"/>
              </w:rPr>
              <w:t xml:space="preserve"> </w:t>
            </w:r>
            <w:r w:rsidRPr="00BD1316">
              <w:rPr>
                <w:rFonts w:ascii="Arial" w:hAnsi="Arial" w:cs="Arial"/>
                <w:color w:val="000000"/>
                <w:sz w:val="20"/>
                <w:szCs w:val="20"/>
              </w:rPr>
              <w:t>las personas y comunidades marginadas que más necesitan del AEA, también</w:t>
            </w:r>
            <w:r>
              <w:rPr>
                <w:rFonts w:ascii="Arial" w:hAnsi="Arial" w:cs="Arial"/>
                <w:color w:val="000000"/>
                <w:sz w:val="20"/>
                <w:szCs w:val="20"/>
              </w:rPr>
              <w:t xml:space="preserve"> </w:t>
            </w:r>
            <w:r w:rsidRPr="00BD1316">
              <w:rPr>
                <w:rFonts w:ascii="Arial" w:hAnsi="Arial" w:cs="Arial"/>
                <w:color w:val="000000"/>
                <w:sz w:val="20"/>
                <w:szCs w:val="20"/>
              </w:rPr>
              <w:t>proporcionaremos recursos educativos abiertos para el bien común y público, y abordaremos</w:t>
            </w:r>
            <w:r>
              <w:rPr>
                <w:rFonts w:ascii="Arial" w:hAnsi="Arial" w:cs="Arial"/>
                <w:color w:val="000000"/>
                <w:sz w:val="20"/>
                <w:szCs w:val="20"/>
              </w:rPr>
              <w:t xml:space="preserve"> </w:t>
            </w:r>
            <w:r w:rsidRPr="00BD1316">
              <w:rPr>
                <w:rFonts w:ascii="Arial" w:hAnsi="Arial" w:cs="Arial"/>
                <w:color w:val="000000"/>
                <w:sz w:val="20"/>
                <w:szCs w:val="20"/>
              </w:rPr>
              <w:t>las preocupaciones sobre la equidad y la inclusión, la privacidad y la ética en relación con el</w:t>
            </w:r>
            <w:r>
              <w:rPr>
                <w:rFonts w:ascii="Arial" w:hAnsi="Arial" w:cs="Arial"/>
                <w:color w:val="000000"/>
                <w:sz w:val="20"/>
                <w:szCs w:val="20"/>
              </w:rPr>
              <w:t xml:space="preserve"> </w:t>
            </w:r>
            <w:r w:rsidRPr="00BD1316">
              <w:rPr>
                <w:rFonts w:ascii="Arial" w:hAnsi="Arial" w:cs="Arial"/>
                <w:color w:val="000000"/>
                <w:sz w:val="20"/>
                <w:szCs w:val="20"/>
              </w:rPr>
              <w:t>uso de la tecnología para el aprendizaje.</w:t>
            </w:r>
          </w:p>
          <w:p w:rsidR="00DD69B0" w:rsidRPr="00DD69B0" w:rsidRDefault="00DD69B0" w:rsidP="00DD69B0">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 xml:space="preserve">Nos comprometemos a utilizar la Agenda 2030 para el Desarrollo </w:t>
            </w:r>
            <w:r w:rsidRPr="00BD1316">
              <w:rPr>
                <w:rFonts w:ascii="Arial" w:hAnsi="Arial" w:cs="Arial"/>
                <w:color w:val="000000"/>
                <w:sz w:val="20"/>
                <w:szCs w:val="20"/>
              </w:rPr>
              <w:lastRenderedPageBreak/>
              <w:t>Sostenible como hoja de</w:t>
            </w:r>
            <w:r>
              <w:rPr>
                <w:rFonts w:ascii="Arial" w:hAnsi="Arial" w:cs="Arial"/>
                <w:color w:val="000000"/>
                <w:sz w:val="20"/>
                <w:szCs w:val="20"/>
              </w:rPr>
              <w:t xml:space="preserve"> </w:t>
            </w:r>
            <w:r w:rsidRPr="00BD1316">
              <w:rPr>
                <w:rFonts w:ascii="Arial" w:hAnsi="Arial" w:cs="Arial"/>
                <w:color w:val="000000"/>
                <w:sz w:val="20"/>
                <w:szCs w:val="20"/>
              </w:rPr>
              <w:t>ruta para el desarrollo de competencias transversales, reconociendo cómo esta agenda aporta</w:t>
            </w:r>
            <w:r>
              <w:rPr>
                <w:rFonts w:ascii="Arial" w:hAnsi="Arial" w:cs="Arial"/>
                <w:color w:val="000000"/>
                <w:sz w:val="20"/>
                <w:szCs w:val="20"/>
              </w:rPr>
              <w:t xml:space="preserve"> </w:t>
            </w:r>
            <w:r w:rsidRPr="00BD1316">
              <w:rPr>
                <w:rFonts w:ascii="Arial" w:hAnsi="Arial" w:cs="Arial"/>
                <w:color w:val="000000"/>
                <w:sz w:val="20"/>
                <w:szCs w:val="20"/>
              </w:rPr>
              <w:t>cohesión y sinergia a los objetivos multifacéticos del AEA para los próximos años. La educación</w:t>
            </w:r>
            <w:r>
              <w:rPr>
                <w:rFonts w:ascii="Arial" w:hAnsi="Arial" w:cs="Arial"/>
                <w:color w:val="000000"/>
                <w:sz w:val="20"/>
                <w:szCs w:val="20"/>
              </w:rPr>
              <w:t xml:space="preserve"> </w:t>
            </w:r>
            <w:r w:rsidRPr="00BD1316">
              <w:rPr>
                <w:rFonts w:ascii="Arial" w:hAnsi="Arial" w:cs="Arial"/>
                <w:color w:val="000000"/>
                <w:sz w:val="20"/>
                <w:szCs w:val="20"/>
              </w:rPr>
              <w:t>de calidad y el aprendizaje a lo largo de toda la vida, como parte integral del ODS 4, son</w:t>
            </w:r>
            <w:r>
              <w:rPr>
                <w:rFonts w:ascii="Arial" w:hAnsi="Arial" w:cs="Arial"/>
                <w:color w:val="000000"/>
                <w:sz w:val="20"/>
                <w:szCs w:val="20"/>
              </w:rPr>
              <w:t xml:space="preserve"> </w:t>
            </w:r>
            <w:r w:rsidRPr="00BD1316">
              <w:rPr>
                <w:rFonts w:ascii="Arial" w:hAnsi="Arial" w:cs="Arial"/>
                <w:color w:val="000000"/>
                <w:sz w:val="20"/>
                <w:szCs w:val="20"/>
              </w:rPr>
              <w:t>mecanismos importantes para implementar no sólo el ODS 4, sino también muchos de los</w:t>
            </w:r>
            <w:r>
              <w:rPr>
                <w:rFonts w:ascii="Arial" w:hAnsi="Arial" w:cs="Arial"/>
                <w:color w:val="000000"/>
                <w:sz w:val="20"/>
                <w:szCs w:val="20"/>
              </w:rPr>
              <w:t xml:space="preserve"> </w:t>
            </w:r>
            <w:r w:rsidRPr="00BD1316">
              <w:rPr>
                <w:rFonts w:ascii="Arial" w:hAnsi="Arial" w:cs="Arial"/>
                <w:color w:val="000000"/>
                <w:sz w:val="20"/>
                <w:szCs w:val="20"/>
              </w:rPr>
              <w:t>otros ODS. Es el requisito previo para la reducción de la pobreza (ODS 1), la salud y el bienestar</w:t>
            </w:r>
            <w:r>
              <w:rPr>
                <w:rFonts w:ascii="Arial" w:hAnsi="Arial" w:cs="Arial"/>
                <w:color w:val="000000"/>
                <w:sz w:val="20"/>
                <w:szCs w:val="20"/>
              </w:rPr>
              <w:t xml:space="preserve"> </w:t>
            </w:r>
            <w:r w:rsidRPr="00BD1316">
              <w:rPr>
                <w:rFonts w:ascii="Arial" w:hAnsi="Arial" w:cs="Arial"/>
                <w:color w:val="000000"/>
                <w:sz w:val="20"/>
                <w:szCs w:val="20"/>
              </w:rPr>
              <w:t>(ODS 3), la igualdad de género (ODS 5) la reducción de las desigualdades (ODS 10), el empleo</w:t>
            </w:r>
            <w:r>
              <w:rPr>
                <w:rFonts w:ascii="Arial" w:hAnsi="Arial" w:cs="Arial"/>
                <w:color w:val="000000"/>
                <w:sz w:val="20"/>
                <w:szCs w:val="20"/>
              </w:rPr>
              <w:t xml:space="preserve"> </w:t>
            </w:r>
            <w:r w:rsidRPr="00BD1316">
              <w:rPr>
                <w:rFonts w:ascii="Arial" w:hAnsi="Arial" w:cs="Arial"/>
                <w:color w:val="000000"/>
                <w:sz w:val="20"/>
                <w:szCs w:val="20"/>
              </w:rPr>
              <w:t>remunerado y el trabajo decente (ODS 8), para ciudades inclusivas, seguras, resilientes y</w:t>
            </w:r>
            <w:r>
              <w:rPr>
                <w:rFonts w:ascii="Arial" w:hAnsi="Arial" w:cs="Arial"/>
                <w:color w:val="000000"/>
                <w:sz w:val="20"/>
                <w:szCs w:val="20"/>
              </w:rPr>
              <w:t xml:space="preserve"> </w:t>
            </w:r>
            <w:r w:rsidRPr="00BD1316">
              <w:rPr>
                <w:rFonts w:ascii="Arial" w:hAnsi="Arial" w:cs="Arial"/>
                <w:color w:val="000000"/>
                <w:sz w:val="20"/>
                <w:szCs w:val="20"/>
              </w:rPr>
              <w:t>sostenibles (ODS 11), para sociedades justas, pacíficas, inclusivas y libres de violencia (ODS 16)</w:t>
            </w:r>
            <w:r>
              <w:rPr>
                <w:rFonts w:ascii="Arial" w:hAnsi="Arial" w:cs="Arial"/>
                <w:color w:val="000000"/>
                <w:sz w:val="20"/>
                <w:szCs w:val="20"/>
              </w:rPr>
              <w:t xml:space="preserve"> </w:t>
            </w:r>
            <w:r w:rsidRPr="00BD1316">
              <w:rPr>
                <w:rFonts w:ascii="Arial" w:hAnsi="Arial" w:cs="Arial"/>
                <w:color w:val="000000"/>
                <w:sz w:val="20"/>
                <w:szCs w:val="20"/>
              </w:rPr>
              <w:t>y para la acción climática (ODS 13). Además, la educación de calidad y el aprendizaje a lo largo</w:t>
            </w:r>
            <w:r>
              <w:rPr>
                <w:rFonts w:ascii="Arial" w:hAnsi="Arial" w:cs="Arial"/>
                <w:color w:val="000000"/>
                <w:sz w:val="20"/>
                <w:szCs w:val="20"/>
              </w:rPr>
              <w:t xml:space="preserve"> </w:t>
            </w:r>
            <w:r w:rsidRPr="00BD1316">
              <w:rPr>
                <w:rFonts w:ascii="Arial" w:hAnsi="Arial" w:cs="Arial"/>
                <w:color w:val="000000"/>
                <w:sz w:val="20"/>
                <w:szCs w:val="20"/>
              </w:rPr>
              <w:t>de toda la vida son cruciales para la realización de otros derechos humanos.</w:t>
            </w:r>
          </w:p>
        </w:tc>
        <w:tc>
          <w:tcPr>
            <w:tcW w:w="2126" w:type="dxa"/>
          </w:tcPr>
          <w:p w:rsidR="00DD69B0" w:rsidRPr="00AA1CB7" w:rsidRDefault="00592435" w:rsidP="00DD69B0">
            <w:pPr>
              <w:autoSpaceDE w:val="0"/>
              <w:autoSpaceDN w:val="0"/>
              <w:adjustRightInd w:val="0"/>
              <w:jc w:val="both"/>
              <w:rPr>
                <w:rFonts w:ascii="Arial" w:hAnsi="Arial" w:cs="Arial"/>
                <w:b/>
                <w:bCs/>
                <w:color w:val="0000CC"/>
                <w:sz w:val="20"/>
                <w:szCs w:val="20"/>
              </w:rPr>
            </w:pPr>
            <w:r>
              <w:rPr>
                <w:rFonts w:ascii="Arial" w:hAnsi="Arial" w:cs="Arial"/>
                <w:b/>
                <w:bCs/>
                <w:color w:val="0000CC"/>
                <w:sz w:val="20"/>
                <w:szCs w:val="20"/>
              </w:rPr>
              <w:lastRenderedPageBreak/>
              <w:t>Acciones para una oferta transformadora de AEA</w:t>
            </w:r>
          </w:p>
          <w:p w:rsidR="00DD69B0" w:rsidRDefault="00DD69B0" w:rsidP="00DD69B0">
            <w:pPr>
              <w:autoSpaceDE w:val="0"/>
              <w:autoSpaceDN w:val="0"/>
              <w:adjustRightInd w:val="0"/>
              <w:jc w:val="both"/>
              <w:rPr>
                <w:rFonts w:ascii="Arial" w:hAnsi="Arial" w:cs="Arial"/>
                <w:bCs/>
                <w:color w:val="000000"/>
                <w:sz w:val="20"/>
                <w:szCs w:val="20"/>
              </w:rPr>
            </w:pPr>
          </w:p>
          <w:p w:rsidR="00DD69B0" w:rsidRDefault="00AE12B8" w:rsidP="00DD69B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(a) </w:t>
            </w:r>
            <w:r w:rsidR="00DD69B0" w:rsidRPr="00DD69B0">
              <w:rPr>
                <w:rFonts w:ascii="Arial" w:hAnsi="Arial" w:cs="Arial"/>
                <w:bCs/>
                <w:color w:val="000000"/>
                <w:sz w:val="20"/>
                <w:szCs w:val="20"/>
              </w:rPr>
              <w:t>¿Cree que las acciones incluidas en las seis áreas son relevantes para la promoción del AEA dentro de una perspectiva de aprendizaje a lo largo de toda la vida en su país?</w:t>
            </w:r>
            <w:r w:rsidR="00DD69B0">
              <w:rPr>
                <w:rFonts w:ascii="Arial" w:hAnsi="Arial" w:cs="Arial"/>
                <w:bCs/>
                <w:color w:val="000000"/>
                <w:sz w:val="20"/>
                <w:szCs w:val="20"/>
              </w:rPr>
              <w:t xml:space="preserve"> Establecimiento de marcos y acuerdos de gobernanza / Rediseño de sistemas para el AEA / Garantía de calidad de aprendizajes / Incremento de la financiación /  Promoción de la inclusión / </w:t>
            </w:r>
            <w:r w:rsidR="00DD69B0">
              <w:rPr>
                <w:rFonts w:ascii="Arial" w:hAnsi="Arial" w:cs="Arial"/>
                <w:bCs/>
                <w:color w:val="000000"/>
                <w:sz w:val="20"/>
                <w:szCs w:val="20"/>
              </w:rPr>
              <w:lastRenderedPageBreak/>
              <w:t xml:space="preserve">Ampliación de los dominios de aprendizaje </w:t>
            </w:r>
          </w:p>
          <w:p w:rsidR="00DD69B0" w:rsidRDefault="00DD69B0" w:rsidP="00DD69B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Si/No</w:t>
            </w:r>
          </w:p>
          <w:p w:rsidR="00DD69B0" w:rsidRDefault="00DD69B0" w:rsidP="00DD69B0">
            <w:pPr>
              <w:autoSpaceDE w:val="0"/>
              <w:autoSpaceDN w:val="0"/>
              <w:adjustRightInd w:val="0"/>
              <w:jc w:val="both"/>
              <w:rPr>
                <w:rFonts w:ascii="Arial" w:hAnsi="Arial" w:cs="Arial"/>
                <w:bCs/>
                <w:color w:val="000000"/>
                <w:sz w:val="20"/>
                <w:szCs w:val="20"/>
              </w:rPr>
            </w:pPr>
          </w:p>
          <w:p w:rsidR="00DD69B0" w:rsidRDefault="00DD69B0" w:rsidP="00DD69B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Si la respuesta es NO: </w:t>
            </w:r>
            <w:r w:rsidR="00AE12B8" w:rsidRPr="00AE12B8">
              <w:rPr>
                <w:rFonts w:ascii="Arial" w:hAnsi="Arial" w:cs="Arial"/>
                <w:bCs/>
                <w:color w:val="000000"/>
                <w:sz w:val="20"/>
                <w:szCs w:val="20"/>
              </w:rPr>
              <w:t>Indique de qué manera deben replantearse las acciones</w:t>
            </w:r>
            <w:r w:rsidR="00AE12B8">
              <w:rPr>
                <w:rFonts w:ascii="Arial" w:hAnsi="Arial" w:cs="Arial"/>
                <w:bCs/>
                <w:color w:val="000000"/>
                <w:sz w:val="20"/>
                <w:szCs w:val="20"/>
              </w:rPr>
              <w:t>…</w:t>
            </w:r>
          </w:p>
          <w:p w:rsidR="00DD69B0" w:rsidRDefault="00DD69B0" w:rsidP="00DD69B0">
            <w:pPr>
              <w:autoSpaceDE w:val="0"/>
              <w:autoSpaceDN w:val="0"/>
              <w:adjustRightInd w:val="0"/>
              <w:jc w:val="both"/>
              <w:rPr>
                <w:rFonts w:ascii="Arial" w:hAnsi="Arial" w:cs="Arial"/>
                <w:bCs/>
                <w:color w:val="000000"/>
                <w:sz w:val="20"/>
                <w:szCs w:val="20"/>
              </w:rPr>
            </w:pPr>
          </w:p>
          <w:p w:rsidR="00DD69B0" w:rsidRDefault="00DD69B0" w:rsidP="00DD69B0">
            <w:pPr>
              <w:autoSpaceDE w:val="0"/>
              <w:autoSpaceDN w:val="0"/>
              <w:adjustRightInd w:val="0"/>
              <w:jc w:val="both"/>
              <w:rPr>
                <w:rFonts w:ascii="Arial" w:hAnsi="Arial" w:cs="Arial"/>
                <w:bCs/>
                <w:color w:val="000000"/>
                <w:sz w:val="20"/>
                <w:szCs w:val="20"/>
              </w:rPr>
            </w:pPr>
          </w:p>
          <w:p w:rsidR="00DD69B0" w:rsidRPr="00DD69B0" w:rsidRDefault="002E04A7" w:rsidP="00DD69B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(b) </w:t>
            </w:r>
            <w:r w:rsidR="00DD69B0" w:rsidRPr="00DD69B0">
              <w:rPr>
                <w:rFonts w:ascii="Arial" w:hAnsi="Arial" w:cs="Arial"/>
                <w:bCs/>
                <w:color w:val="000000"/>
                <w:sz w:val="20"/>
                <w:szCs w:val="20"/>
              </w:rPr>
              <w:t>¿Son las seis áreas de acción enumeradas anteriormente lo suficientemente relevantes y/o completas?</w:t>
            </w:r>
          </w:p>
          <w:p w:rsidR="00DD69B0" w:rsidRDefault="00DD69B0" w:rsidP="00DD69B0">
            <w:pPr>
              <w:autoSpaceDE w:val="0"/>
              <w:autoSpaceDN w:val="0"/>
              <w:adjustRightInd w:val="0"/>
              <w:jc w:val="both"/>
              <w:rPr>
                <w:rFonts w:ascii="Arial" w:hAnsi="Arial" w:cs="Arial"/>
                <w:bCs/>
                <w:color w:val="000000"/>
                <w:sz w:val="20"/>
                <w:szCs w:val="20"/>
              </w:rPr>
            </w:pPr>
            <w:r w:rsidRPr="00DD69B0">
              <w:rPr>
                <w:rFonts w:ascii="Arial" w:hAnsi="Arial" w:cs="Arial"/>
                <w:bCs/>
                <w:color w:val="000000"/>
                <w:sz w:val="20"/>
                <w:szCs w:val="20"/>
              </w:rPr>
              <w:t xml:space="preserve">Sí </w:t>
            </w:r>
            <w:r>
              <w:rPr>
                <w:rFonts w:ascii="Arial" w:hAnsi="Arial" w:cs="Arial"/>
                <w:bCs/>
                <w:color w:val="000000"/>
                <w:sz w:val="20"/>
                <w:szCs w:val="20"/>
              </w:rPr>
              <w:t xml:space="preserve">/ </w:t>
            </w:r>
            <w:r w:rsidRPr="00DD69B0">
              <w:rPr>
                <w:rFonts w:ascii="Arial" w:hAnsi="Arial" w:cs="Arial"/>
                <w:bCs/>
                <w:color w:val="000000"/>
                <w:sz w:val="20"/>
                <w:szCs w:val="20"/>
              </w:rPr>
              <w:t>No</w:t>
            </w:r>
          </w:p>
          <w:p w:rsidR="00AE12B8" w:rsidRDefault="00AE12B8" w:rsidP="00DD69B0">
            <w:pPr>
              <w:autoSpaceDE w:val="0"/>
              <w:autoSpaceDN w:val="0"/>
              <w:adjustRightInd w:val="0"/>
              <w:jc w:val="both"/>
              <w:rPr>
                <w:rFonts w:ascii="Arial" w:hAnsi="Arial" w:cs="Arial"/>
                <w:bCs/>
                <w:color w:val="000000"/>
                <w:sz w:val="20"/>
                <w:szCs w:val="20"/>
              </w:rPr>
            </w:pPr>
          </w:p>
          <w:p w:rsidR="00AE12B8" w:rsidRPr="00AC1681" w:rsidRDefault="00AE12B8" w:rsidP="00DD69B0">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Si la respuesta es NO: </w:t>
            </w:r>
            <w:r w:rsidRPr="00AE12B8">
              <w:rPr>
                <w:rFonts w:ascii="Arial" w:hAnsi="Arial" w:cs="Arial"/>
                <w:bCs/>
                <w:color w:val="000000"/>
                <w:sz w:val="20"/>
                <w:szCs w:val="20"/>
              </w:rPr>
              <w:t>¿Qué otras áreas de actuación deberían considerarse y por qué?</w:t>
            </w:r>
          </w:p>
        </w:tc>
        <w:tc>
          <w:tcPr>
            <w:tcW w:w="4532" w:type="dxa"/>
          </w:tcPr>
          <w:p w:rsidR="00AE12B8" w:rsidRP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lastRenderedPageBreak/>
              <w:t>(18) - En lugar del derecho al aprendizaje a lo largo de la vida, se debe establecer un derecho al AEA como parte integral del derecho a la educación. Dado que el aprendizaje a lo largo de la vida es el concepto, la filosofía y el enfoque principales, sólo en combinación con la educación podría asignarse y compartirse la responsabilidad de la misma, podría supervisarse y garantizarse, y podría establecerse el derecho a la educación y al aprendizaje a lo largo de la vida para todos: niños, jóvenes, adultos y personas mayores.</w:t>
            </w:r>
          </w:p>
          <w:p w:rsidR="00AE12B8" w:rsidRP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t>Los derechos individuales de aprendizaje son sólo uno de los numerosos mecanismos de apoyo; deberían seguir siendo una opción para el alumno, como una posible vía de aprendizaje. Existe el riesgo de perturbar el sistema de gobernanza en el que operan los sistemas educativos (especialmente las instituciones públicas) y el riesgo de comercialización.</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t xml:space="preserve">(19) - La inclusión de la financiación mixta es buena, así como la diversidad de la financiación del AEA, pero los gobiernos deben mantener el </w:t>
            </w:r>
            <w:r w:rsidRPr="00AE12B8">
              <w:rPr>
                <w:rFonts w:ascii="Arial" w:hAnsi="Arial" w:cs="Arial"/>
                <w:bCs/>
                <w:color w:val="000000"/>
                <w:sz w:val="20"/>
                <w:szCs w:val="20"/>
                <w:lang w:val="es-EC"/>
              </w:rPr>
              <w:lastRenderedPageBreak/>
              <w:t>papel de control estratégico, financiero y reglamentario de los distintos planes de financiación, asegurándose de que no se socava el derecho a la educación y de que no se exacerban las desigualdades, teniendo en cuenta los riesgos de comercialización del AEA. También proponemos recomendar que se dupliquen, como mínimo, las asignaciones actuales para el AEA.</w:t>
            </w: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Pr="00AE12B8" w:rsidRDefault="002E04A7" w:rsidP="00AE12B8">
            <w:pPr>
              <w:autoSpaceDE w:val="0"/>
              <w:autoSpaceDN w:val="0"/>
              <w:adjustRightInd w:val="0"/>
              <w:spacing w:line="276" w:lineRule="auto"/>
              <w:jc w:val="both"/>
              <w:rPr>
                <w:rFonts w:ascii="Arial" w:hAnsi="Arial" w:cs="Arial"/>
                <w:bCs/>
                <w:color w:val="000000"/>
                <w:sz w:val="20"/>
                <w:szCs w:val="20"/>
                <w:lang w:val="es-EC"/>
              </w:rPr>
            </w:pPr>
            <w:r>
              <w:rPr>
                <w:rFonts w:ascii="Arial" w:hAnsi="Arial" w:cs="Arial"/>
                <w:bCs/>
                <w:color w:val="000000"/>
                <w:sz w:val="20"/>
                <w:szCs w:val="20"/>
                <w:lang w:val="es-EC"/>
              </w:rPr>
              <w:t xml:space="preserve">(20) - </w:t>
            </w:r>
            <w:r w:rsidRPr="002E04A7">
              <w:rPr>
                <w:rFonts w:ascii="Arial" w:hAnsi="Arial" w:cs="Arial"/>
                <w:bCs/>
                <w:color w:val="000000"/>
                <w:sz w:val="20"/>
                <w:szCs w:val="20"/>
                <w:lang w:val="es-EC"/>
              </w:rPr>
              <w:t>EL SENTIDO DE EPJA EXIGE UNA NUEVA INSTITUCIONALIDAD, gestión integral de los sistemas educativos con espacios formales y no formales, políticas públicas intersectoriales y coordinación interministerial, en el marco de la participación de toda la sociedad.</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2E04A7" w:rsidRDefault="002E04A7" w:rsidP="00AE12B8">
            <w:pPr>
              <w:autoSpaceDE w:val="0"/>
              <w:autoSpaceDN w:val="0"/>
              <w:adjustRightInd w:val="0"/>
              <w:jc w:val="both"/>
              <w:rPr>
                <w:rFonts w:ascii="Arial" w:hAnsi="Arial" w:cs="Arial"/>
                <w:bCs/>
                <w:color w:val="000000"/>
                <w:sz w:val="20"/>
                <w:szCs w:val="20"/>
                <w:lang w:val="es-EC"/>
              </w:rPr>
            </w:pPr>
          </w:p>
          <w:p w:rsidR="002E04A7" w:rsidRPr="00AE12B8" w:rsidRDefault="002E04A7" w:rsidP="00AE12B8">
            <w:pPr>
              <w:autoSpaceDE w:val="0"/>
              <w:autoSpaceDN w:val="0"/>
              <w:adjustRightInd w:val="0"/>
              <w:jc w:val="both"/>
              <w:rPr>
                <w:rFonts w:ascii="Arial" w:hAnsi="Arial" w:cs="Arial"/>
                <w:bCs/>
                <w:color w:val="000000"/>
                <w:sz w:val="20"/>
                <w:szCs w:val="20"/>
                <w:lang w:val="es-EC"/>
              </w:rPr>
            </w:pPr>
            <w:r>
              <w:rPr>
                <w:rFonts w:ascii="Arial" w:hAnsi="Arial" w:cs="Arial"/>
                <w:bCs/>
                <w:color w:val="000000"/>
                <w:sz w:val="20"/>
                <w:szCs w:val="20"/>
                <w:lang w:val="es-EC"/>
              </w:rPr>
              <w:t xml:space="preserve">(27) -  </w:t>
            </w:r>
            <w:r w:rsidRPr="002E04A7">
              <w:rPr>
                <w:rFonts w:ascii="Arial" w:hAnsi="Arial" w:cs="Arial"/>
                <w:bCs/>
                <w:color w:val="000000"/>
                <w:sz w:val="20"/>
                <w:szCs w:val="20"/>
                <w:lang w:val="es-EC"/>
              </w:rPr>
              <w:t xml:space="preserve">LOS ESTADOS TIENEN QUE </w:t>
            </w:r>
            <w:r w:rsidRPr="002E04A7">
              <w:rPr>
                <w:rFonts w:ascii="Arial" w:hAnsi="Arial" w:cs="Arial"/>
                <w:bCs/>
                <w:color w:val="000000"/>
                <w:sz w:val="20"/>
                <w:szCs w:val="20"/>
                <w:lang w:val="es-EC"/>
              </w:rPr>
              <w:lastRenderedPageBreak/>
              <w:t>GARANTIZAR UN FINANCIAMIENTO PÚBLICO Y JUSTO PARA LA EPJA, así como transparencia en el uso de los recursos y la cooperación internacional solidaria.</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2E04A7" w:rsidRPr="002E04A7" w:rsidRDefault="002E04A7" w:rsidP="00AE12B8">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lang w:val="es-EC"/>
              </w:rPr>
              <w:t>(29</w:t>
            </w:r>
            <w:r w:rsidR="00AE12B8" w:rsidRPr="00AE12B8">
              <w:rPr>
                <w:rFonts w:ascii="Arial" w:hAnsi="Arial" w:cs="Arial"/>
                <w:bCs/>
                <w:color w:val="000000"/>
                <w:sz w:val="20"/>
                <w:szCs w:val="20"/>
                <w:lang w:val="es-EC"/>
              </w:rPr>
              <w:t xml:space="preserve">) </w:t>
            </w:r>
            <w:r>
              <w:rPr>
                <w:rFonts w:ascii="Arial" w:hAnsi="Arial" w:cs="Arial"/>
                <w:bCs/>
                <w:color w:val="000000"/>
                <w:sz w:val="20"/>
                <w:szCs w:val="20"/>
                <w:lang w:val="es-EC"/>
              </w:rPr>
              <w:t>–</w:t>
            </w:r>
            <w:r w:rsidR="00AE12B8" w:rsidRPr="00AE12B8">
              <w:rPr>
                <w:rFonts w:ascii="Arial" w:hAnsi="Arial" w:cs="Arial"/>
                <w:bCs/>
                <w:color w:val="000000"/>
                <w:sz w:val="20"/>
                <w:szCs w:val="20"/>
                <w:lang w:val="es-EC"/>
              </w:rPr>
              <w:t xml:space="preserve"> </w:t>
            </w:r>
            <w:r w:rsidRPr="002E04A7">
              <w:rPr>
                <w:rFonts w:ascii="Arial" w:hAnsi="Arial" w:cs="Arial"/>
                <w:bCs/>
                <w:color w:val="000000"/>
                <w:sz w:val="20"/>
                <w:szCs w:val="20"/>
                <w:lang w:val="es-EC"/>
              </w:rPr>
              <w:t>LA EPJA HA DE SER INCLUYENTE Y DIVERSA, adecuada a los contextos, comunidades, culturas, territorios y poblaciones con diversidades y necesidades específicas: mujeres, jóvenes, adultas/os mayores, población LGTBIQ+; afrodescendientes, indígenas, campesinas/os -rurales; personas con discapacidad, privadas/os de libertad, migrantes y refugiadas, teniendo en cuenta la interseccionalidad de sus necesidades y su diversidad cultural.</w:t>
            </w:r>
          </w:p>
          <w:p w:rsidR="00AE12B8" w:rsidRP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lastRenderedPageBreak/>
              <w:t>La igualdad de género sigue siendo uno de los principales objetivos del AEA, por lo que debería añadirse un apartado sobre género. Esto requiere no sólo permitir la participación equilibrada de hombres y mujeres en el AEA, el uso de una didáctica que tenga en cuenta el género y la epistemología feminista, sino también políticas de AEA que se centren especialmente en las mujeres (sobre todo en los esfuerzos de alfabetización) y que aborden los problemas sistémicos de las relaciones de poder y las culturas opresivas para las mujeres en diversos planes de estudio y entornos educativos.</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r>
              <w:rPr>
                <w:rFonts w:ascii="Arial" w:hAnsi="Arial" w:cs="Arial"/>
                <w:bCs/>
                <w:color w:val="000000"/>
                <w:sz w:val="20"/>
                <w:szCs w:val="20"/>
                <w:lang w:val="es-EC"/>
              </w:rPr>
              <w:t xml:space="preserve">(32) – Reconocer y valorar las distintas modalidades de EPJA: Formal y No Formal (Comunitario, Permanente y Popular) </w:t>
            </w:r>
          </w:p>
          <w:p w:rsidR="00AE12B8" w:rsidRP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t>El aprendizaje en el lugar de trabajo es importante, pero todo el ámbito de la educación y la formación profesional debería mencionarse aquí o añadirse como nuevo apartado. Sugerimos comprometerse a aumentar la calidad y la cantidad de los programas de aprendizaje con perspectiva de género para las competencias relacionadas con el trabajo, apoyando a los jóvenes y a los adultos (hombres y mujeres) afectados por el desempleo y el empleo precario (agravado por la pandemia del COVID-19), los nuevos desarrollos tecnológicos para el trabajo, el impacto del cambio climático en las industrias y, en consecuencia, la necesidad de una formación continua integral, el desarrollo profesional y la actualización de conocimientos y competencias.</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AE12B8" w:rsidRPr="00AE12B8"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t>(34) - El papel de los ciudadanos es importante, pero hacer frente a las crisis climáticas requiere acciones de actores más poderosos, sugerimos destacar el papel de los gobiernos en la mitigación y el tratamiento de los impactos del cambio climático desde una perspectiva de derechos y justicia social, incluyendo la exigencia de responsabilidades a los principales contaminadores de carbono; la integración de la educación sobre el cambio climático en las escuelas, los programas de educación de jóvenes y de adultos y en los sistemas generales de aprendizaje permanente; el compromiso de los gobiernos con la educación sobre el cambio climático y la justicia climática.</w:t>
            </w:r>
          </w:p>
          <w:p w:rsidR="00AE12B8" w:rsidRPr="00AE12B8" w:rsidRDefault="00AE12B8" w:rsidP="00AE12B8">
            <w:pPr>
              <w:autoSpaceDE w:val="0"/>
              <w:autoSpaceDN w:val="0"/>
              <w:adjustRightInd w:val="0"/>
              <w:jc w:val="both"/>
              <w:rPr>
                <w:rFonts w:ascii="Arial" w:hAnsi="Arial" w:cs="Arial"/>
                <w:bCs/>
                <w:color w:val="000000"/>
                <w:sz w:val="20"/>
                <w:szCs w:val="20"/>
                <w:lang w:val="es-EC"/>
              </w:rPr>
            </w:pPr>
          </w:p>
          <w:p w:rsidR="00DD69B0" w:rsidRDefault="00AE12B8" w:rsidP="00AE12B8">
            <w:pPr>
              <w:autoSpaceDE w:val="0"/>
              <w:autoSpaceDN w:val="0"/>
              <w:adjustRightInd w:val="0"/>
              <w:spacing w:line="276" w:lineRule="auto"/>
              <w:jc w:val="both"/>
              <w:rPr>
                <w:rFonts w:ascii="Arial" w:hAnsi="Arial" w:cs="Arial"/>
                <w:bCs/>
                <w:color w:val="000000"/>
                <w:sz w:val="20"/>
                <w:szCs w:val="20"/>
                <w:lang w:val="es-EC"/>
              </w:rPr>
            </w:pPr>
            <w:r w:rsidRPr="00AE12B8">
              <w:rPr>
                <w:rFonts w:ascii="Arial" w:hAnsi="Arial" w:cs="Arial"/>
                <w:bCs/>
                <w:color w:val="000000"/>
                <w:sz w:val="20"/>
                <w:szCs w:val="20"/>
                <w:lang w:val="es-EC"/>
              </w:rPr>
              <w:t xml:space="preserve">(35) - Las recomendaciones de 2019 y 2020 han sido adoptadas en un proceso intergubernamental y multilateral. La Declaración Global </w:t>
            </w:r>
            <w:proofErr w:type="spellStart"/>
            <w:r w:rsidRPr="00AE12B8">
              <w:rPr>
                <w:rFonts w:ascii="Arial" w:hAnsi="Arial" w:cs="Arial"/>
                <w:bCs/>
                <w:color w:val="000000"/>
                <w:sz w:val="20"/>
                <w:szCs w:val="20"/>
                <w:lang w:val="es-EC"/>
              </w:rPr>
              <w:t>Rewired</w:t>
            </w:r>
            <w:proofErr w:type="spellEnd"/>
            <w:r w:rsidRPr="00AE12B8">
              <w:rPr>
                <w:rFonts w:ascii="Arial" w:hAnsi="Arial" w:cs="Arial"/>
                <w:bCs/>
                <w:color w:val="000000"/>
                <w:sz w:val="20"/>
                <w:szCs w:val="20"/>
                <w:lang w:val="es-EC"/>
              </w:rPr>
              <w:t xml:space="preserve"> de 2021 es una plataforma de múltiples partes interesadas sin la misma responsabilidad que un proceso multilateral, por lo que no pertenece aquí. Además, los problemas de nuestro mundo no son tecnológicos, sino pedagógicos; por lo tanto, confiar demasiado en la tecnología conlleva el riesgo de descuidar numerosos grupos de alumnos, así como áreas de aprendizaje que requieren otras metodologías, y de dejar atrás a la mitad de la población mundial </w:t>
            </w:r>
            <w:r w:rsidRPr="00AE12B8">
              <w:rPr>
                <w:rFonts w:ascii="Arial" w:hAnsi="Arial" w:cs="Arial"/>
                <w:bCs/>
                <w:color w:val="000000"/>
                <w:sz w:val="20"/>
                <w:szCs w:val="20"/>
                <w:lang w:val="es-EC"/>
              </w:rPr>
              <w:lastRenderedPageBreak/>
              <w:t>que no está en línea. Cabe mencionar esta advertencia y un llamamiento a la diversidad de enfoques, incluido el aprendizaje mixto.</w:t>
            </w: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2E04A7" w:rsidRDefault="002E04A7" w:rsidP="00AE12B8">
            <w:pPr>
              <w:autoSpaceDE w:val="0"/>
              <w:autoSpaceDN w:val="0"/>
              <w:adjustRightInd w:val="0"/>
              <w:spacing w:line="276" w:lineRule="auto"/>
              <w:jc w:val="both"/>
              <w:rPr>
                <w:rFonts w:ascii="Arial" w:hAnsi="Arial" w:cs="Arial"/>
                <w:bCs/>
                <w:color w:val="000000"/>
                <w:sz w:val="20"/>
                <w:szCs w:val="20"/>
                <w:lang w:val="es-EC"/>
              </w:rPr>
            </w:pPr>
          </w:p>
          <w:p w:rsidR="009C5E99" w:rsidRDefault="009C5E99" w:rsidP="00AE12B8">
            <w:pPr>
              <w:autoSpaceDE w:val="0"/>
              <w:autoSpaceDN w:val="0"/>
              <w:adjustRightInd w:val="0"/>
              <w:spacing w:line="276" w:lineRule="auto"/>
              <w:jc w:val="both"/>
              <w:rPr>
                <w:rFonts w:ascii="Arial" w:hAnsi="Arial" w:cs="Arial"/>
                <w:bCs/>
                <w:color w:val="000000"/>
                <w:sz w:val="20"/>
                <w:szCs w:val="20"/>
                <w:lang w:val="es-EC"/>
              </w:rPr>
            </w:pPr>
          </w:p>
          <w:p w:rsidR="009C5E99" w:rsidRDefault="009C5E99" w:rsidP="00AE12B8">
            <w:pPr>
              <w:autoSpaceDE w:val="0"/>
              <w:autoSpaceDN w:val="0"/>
              <w:adjustRightInd w:val="0"/>
              <w:spacing w:line="276" w:lineRule="auto"/>
              <w:jc w:val="both"/>
              <w:rPr>
                <w:rFonts w:ascii="Arial" w:hAnsi="Arial" w:cs="Arial"/>
                <w:bCs/>
                <w:color w:val="000000"/>
                <w:sz w:val="20"/>
                <w:szCs w:val="20"/>
                <w:lang w:val="es-EC"/>
              </w:rPr>
            </w:pPr>
          </w:p>
          <w:p w:rsidR="009C5E99" w:rsidRDefault="009C5E99" w:rsidP="00AE12B8">
            <w:pPr>
              <w:autoSpaceDE w:val="0"/>
              <w:autoSpaceDN w:val="0"/>
              <w:adjustRightInd w:val="0"/>
              <w:spacing w:line="276" w:lineRule="auto"/>
              <w:jc w:val="both"/>
              <w:rPr>
                <w:rFonts w:ascii="Arial" w:hAnsi="Arial" w:cs="Arial"/>
                <w:bCs/>
                <w:color w:val="000000"/>
                <w:sz w:val="20"/>
                <w:szCs w:val="20"/>
                <w:lang w:val="es-EC"/>
              </w:rPr>
            </w:pPr>
          </w:p>
          <w:p w:rsidR="002E04A7" w:rsidRPr="00592435" w:rsidRDefault="002E04A7" w:rsidP="00AE12B8">
            <w:pPr>
              <w:autoSpaceDE w:val="0"/>
              <w:autoSpaceDN w:val="0"/>
              <w:adjustRightInd w:val="0"/>
              <w:spacing w:line="276" w:lineRule="auto"/>
              <w:jc w:val="both"/>
              <w:rPr>
                <w:rFonts w:ascii="Arial" w:hAnsi="Arial" w:cs="Arial"/>
                <w:b/>
                <w:bCs/>
                <w:color w:val="0000CC"/>
                <w:sz w:val="20"/>
                <w:szCs w:val="20"/>
                <w:lang w:val="es-EC"/>
              </w:rPr>
            </w:pPr>
            <w:r w:rsidRPr="00592435">
              <w:rPr>
                <w:rFonts w:ascii="Arial" w:hAnsi="Arial" w:cs="Arial"/>
                <w:b/>
                <w:bCs/>
                <w:color w:val="0000CC"/>
                <w:sz w:val="20"/>
                <w:szCs w:val="20"/>
                <w:lang w:val="es-EC"/>
              </w:rPr>
              <w:t>Además sugerimos añadir</w:t>
            </w:r>
          </w:p>
          <w:p w:rsidR="002E04A7" w:rsidRDefault="00592435" w:rsidP="00AE12B8">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t>LA EPJA TIENE QUE SER INTRACULTURAL, INTERCULTURAL Y COMUNITARIA en la que sus procesos formativos valoren y fortalezcan las identidades, cosmovisión, saberes y conocimientos de los pueblos indígenas y comunidades afrodescendientes, así como la convivencia en igualdad de oportunidades con otras culturas, en el marco de la justicia epistémica y el diálogo inter-ciencias.</w:t>
            </w:r>
          </w:p>
          <w:p w:rsidR="00592435" w:rsidRDefault="00592435" w:rsidP="00AE12B8">
            <w:pPr>
              <w:autoSpaceDE w:val="0"/>
              <w:autoSpaceDN w:val="0"/>
              <w:adjustRightInd w:val="0"/>
              <w:spacing w:line="276" w:lineRule="auto"/>
              <w:jc w:val="both"/>
              <w:rPr>
                <w:rFonts w:ascii="Arial" w:hAnsi="Arial" w:cs="Arial"/>
                <w:bCs/>
                <w:color w:val="000000"/>
                <w:sz w:val="20"/>
                <w:szCs w:val="20"/>
                <w:lang w:val="es-EC"/>
              </w:rPr>
            </w:pPr>
          </w:p>
          <w:p w:rsidR="002E04A7" w:rsidRPr="00AE12B8" w:rsidRDefault="00592435" w:rsidP="00592435">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t>LOS EDUCADORES DE LA EPJA DEBEN SER RECONOCIDOS CON CONDICIONES DE TRABAJO DIGNAS, SALARIOS JUSTOS Y PLANES DE CARRERA. Asimismo, se debe priorizar su formación y profesionalización, en alianza con las universidades, otras instancias de educación superior y entidades de la sociedad civil.</w:t>
            </w:r>
            <w:r w:rsidR="002E04A7">
              <w:rPr>
                <w:rFonts w:ascii="Arial" w:hAnsi="Arial" w:cs="Arial"/>
                <w:bCs/>
                <w:color w:val="000000"/>
                <w:sz w:val="20"/>
                <w:szCs w:val="20"/>
                <w:lang w:val="es-EC"/>
              </w:rPr>
              <w:t xml:space="preserve"> </w:t>
            </w:r>
          </w:p>
        </w:tc>
      </w:tr>
    </w:tbl>
    <w:p w:rsidR="003B666B" w:rsidRDefault="003B666B" w:rsidP="00592435">
      <w:pPr>
        <w:autoSpaceDE w:val="0"/>
        <w:autoSpaceDN w:val="0"/>
        <w:adjustRightInd w:val="0"/>
        <w:spacing w:after="0"/>
        <w:rPr>
          <w:rFonts w:ascii="Arial" w:hAnsi="Arial" w:cs="Arial"/>
          <w:b/>
          <w:bCs/>
          <w:color w:val="0000CC"/>
          <w:szCs w:val="20"/>
        </w:rPr>
      </w:pPr>
    </w:p>
    <w:p w:rsidR="003B666B" w:rsidRDefault="003B666B" w:rsidP="00592435">
      <w:pPr>
        <w:autoSpaceDE w:val="0"/>
        <w:autoSpaceDN w:val="0"/>
        <w:adjustRightInd w:val="0"/>
        <w:spacing w:after="0"/>
        <w:rPr>
          <w:rFonts w:ascii="Arial" w:hAnsi="Arial" w:cs="Arial"/>
          <w:b/>
          <w:bCs/>
          <w:color w:val="0000CC"/>
          <w:szCs w:val="20"/>
        </w:rPr>
      </w:pPr>
    </w:p>
    <w:p w:rsidR="003B666B" w:rsidRDefault="003B666B" w:rsidP="00592435">
      <w:pPr>
        <w:autoSpaceDE w:val="0"/>
        <w:autoSpaceDN w:val="0"/>
        <w:adjustRightInd w:val="0"/>
        <w:spacing w:after="0"/>
        <w:rPr>
          <w:rFonts w:ascii="Arial" w:hAnsi="Arial" w:cs="Arial"/>
          <w:b/>
          <w:bCs/>
          <w:color w:val="0000CC"/>
          <w:szCs w:val="20"/>
        </w:rPr>
      </w:pPr>
    </w:p>
    <w:p w:rsidR="003B666B" w:rsidRDefault="003B666B" w:rsidP="00592435">
      <w:pPr>
        <w:autoSpaceDE w:val="0"/>
        <w:autoSpaceDN w:val="0"/>
        <w:adjustRightInd w:val="0"/>
        <w:spacing w:after="0"/>
        <w:rPr>
          <w:rFonts w:ascii="Arial" w:hAnsi="Arial" w:cs="Arial"/>
          <w:b/>
          <w:bCs/>
          <w:color w:val="0000CC"/>
          <w:szCs w:val="20"/>
        </w:rPr>
      </w:pPr>
    </w:p>
    <w:p w:rsidR="002211C9" w:rsidRPr="00592435" w:rsidRDefault="00592435" w:rsidP="00592435">
      <w:pPr>
        <w:autoSpaceDE w:val="0"/>
        <w:autoSpaceDN w:val="0"/>
        <w:adjustRightInd w:val="0"/>
        <w:spacing w:after="0"/>
        <w:rPr>
          <w:rFonts w:ascii="Arial" w:hAnsi="Arial" w:cs="Arial"/>
          <w:b/>
          <w:bCs/>
          <w:color w:val="0000CC"/>
          <w:szCs w:val="20"/>
        </w:rPr>
      </w:pPr>
      <w:r w:rsidRPr="00592435">
        <w:rPr>
          <w:rFonts w:ascii="Arial" w:hAnsi="Arial" w:cs="Arial"/>
          <w:b/>
          <w:bCs/>
          <w:color w:val="0000CC"/>
          <w:szCs w:val="20"/>
        </w:rPr>
        <w:t>SECCIÓN IV: COOPERACIÓN INTERNACIONAL PARA LA EJECUCIÓN Y EL SEGUIMIENTO</w:t>
      </w:r>
    </w:p>
    <w:tbl>
      <w:tblPr>
        <w:tblStyle w:val="Tablaconcuadrcula"/>
        <w:tblW w:w="0" w:type="auto"/>
        <w:tblLook w:val="04A0" w:firstRow="1" w:lastRow="0" w:firstColumn="1" w:lastColumn="0" w:noHBand="0" w:noVBand="1"/>
      </w:tblPr>
      <w:tblGrid>
        <w:gridCol w:w="7054"/>
        <w:gridCol w:w="2126"/>
        <w:gridCol w:w="4532"/>
      </w:tblGrid>
      <w:tr w:rsidR="00592435" w:rsidTr="00592435">
        <w:tc>
          <w:tcPr>
            <w:tcW w:w="7054" w:type="dxa"/>
            <w:shd w:val="clear" w:color="auto" w:fill="DBE5F1" w:themeFill="accent1" w:themeFillTint="33"/>
            <w:vAlign w:val="center"/>
          </w:tcPr>
          <w:p w:rsidR="00592435" w:rsidRPr="001E1E49" w:rsidRDefault="00592435" w:rsidP="00592435">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126" w:type="dxa"/>
            <w:shd w:val="clear" w:color="auto" w:fill="DBE5F1" w:themeFill="accent1" w:themeFillTint="33"/>
          </w:tcPr>
          <w:p w:rsidR="00592435" w:rsidRPr="001E1E49" w:rsidRDefault="00592435" w:rsidP="00592435">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5" w:tgtFrame="_blank" w:history="1">
              <w:r w:rsidRPr="001E1E49">
                <w:rPr>
                  <w:rFonts w:ascii="Arial" w:hAnsi="Arial" w:cs="Arial"/>
                  <w:b/>
                  <w:bCs/>
                  <w:color w:val="0000CC"/>
                  <w:sz w:val="20"/>
                  <w:szCs w:val="20"/>
                </w:rPr>
                <w:t>Consulta Pública en línea sobre el anteproyecto del Marco de Acción de Marrakech</w:t>
              </w:r>
            </w:hyperlink>
          </w:p>
        </w:tc>
        <w:tc>
          <w:tcPr>
            <w:tcW w:w="4532" w:type="dxa"/>
            <w:shd w:val="clear" w:color="auto" w:fill="DBE5F1" w:themeFill="accent1" w:themeFillTint="33"/>
            <w:vAlign w:val="center"/>
          </w:tcPr>
          <w:p w:rsidR="00592435" w:rsidRPr="001E1E49" w:rsidRDefault="00592435" w:rsidP="00592435">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 xml:space="preserve">Propuesta de posibles respuestas </w:t>
            </w:r>
          </w:p>
          <w:p w:rsidR="00592435" w:rsidRPr="001E1E49" w:rsidRDefault="00592435" w:rsidP="00592435">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592435" w:rsidRPr="001E1E49" w:rsidRDefault="00592435" w:rsidP="00592435">
            <w:pPr>
              <w:autoSpaceDE w:val="0"/>
              <w:autoSpaceDN w:val="0"/>
              <w:adjustRightInd w:val="0"/>
              <w:jc w:val="center"/>
              <w:rPr>
                <w:rFonts w:ascii="Arial" w:hAnsi="Arial" w:cs="Arial"/>
                <w:b/>
                <w:bCs/>
                <w:color w:val="0000CC"/>
                <w:sz w:val="20"/>
                <w:szCs w:val="20"/>
              </w:rPr>
            </w:pPr>
          </w:p>
        </w:tc>
      </w:tr>
      <w:tr w:rsidR="00592435" w:rsidTr="00592435">
        <w:tc>
          <w:tcPr>
            <w:tcW w:w="7054" w:type="dxa"/>
          </w:tcPr>
          <w:p w:rsidR="00592435" w:rsidRPr="00592435" w:rsidRDefault="00592435" w:rsidP="009D6CAA">
            <w:pPr>
              <w:autoSpaceDE w:val="0"/>
              <w:autoSpaceDN w:val="0"/>
              <w:adjustRightInd w:val="0"/>
              <w:spacing w:line="276" w:lineRule="auto"/>
              <w:jc w:val="both"/>
              <w:rPr>
                <w:rFonts w:ascii="Arial" w:hAnsi="Arial" w:cs="Arial"/>
                <w:b/>
                <w:bCs/>
                <w:color w:val="0000CC"/>
                <w:szCs w:val="20"/>
              </w:rPr>
            </w:pPr>
            <w:r w:rsidRPr="00592435">
              <w:rPr>
                <w:rFonts w:ascii="Arial" w:hAnsi="Arial" w:cs="Arial"/>
                <w:b/>
                <w:bCs/>
                <w:color w:val="0000CC"/>
                <w:szCs w:val="20"/>
              </w:rPr>
              <w:t>Cooperación internacional para la promulgación y el seguimiento</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Al poner en práctica los compromisos contenidos en este Marco de acción, y con el fin de</w:t>
            </w:r>
            <w:r>
              <w:rPr>
                <w:rFonts w:ascii="Arial" w:hAnsi="Arial" w:cs="Arial"/>
                <w:color w:val="000000"/>
                <w:sz w:val="20"/>
                <w:szCs w:val="20"/>
              </w:rPr>
              <w:t xml:space="preserve"> </w:t>
            </w:r>
            <w:r w:rsidRPr="00BD1316">
              <w:rPr>
                <w:rFonts w:ascii="Arial" w:hAnsi="Arial" w:cs="Arial"/>
                <w:color w:val="000000"/>
                <w:sz w:val="20"/>
                <w:szCs w:val="20"/>
              </w:rPr>
              <w:t>intercambiar continuamente conocimientos y buenas prácticas, y fomentar el aprendizaje</w:t>
            </w:r>
            <w:r>
              <w:rPr>
                <w:rFonts w:ascii="Arial" w:hAnsi="Arial" w:cs="Arial"/>
                <w:color w:val="000000"/>
                <w:sz w:val="20"/>
                <w:szCs w:val="20"/>
              </w:rPr>
              <w:t xml:space="preserve"> </w:t>
            </w:r>
            <w:r w:rsidRPr="00BD1316">
              <w:rPr>
                <w:rFonts w:ascii="Arial" w:hAnsi="Arial" w:cs="Arial"/>
                <w:color w:val="000000"/>
                <w:sz w:val="20"/>
                <w:szCs w:val="20"/>
              </w:rPr>
              <w:t>entre iguales, nos comprometemos a mantener la solidaridad y la cooperación</w:t>
            </w:r>
            <w:r>
              <w:rPr>
                <w:rFonts w:ascii="Arial" w:hAnsi="Arial" w:cs="Arial"/>
                <w:color w:val="000000"/>
                <w:sz w:val="20"/>
                <w:szCs w:val="20"/>
              </w:rPr>
              <w:t xml:space="preserve"> </w:t>
            </w:r>
            <w:r w:rsidRPr="00BD1316">
              <w:rPr>
                <w:rFonts w:ascii="Arial" w:hAnsi="Arial" w:cs="Arial"/>
                <w:color w:val="000000"/>
                <w:sz w:val="20"/>
                <w:szCs w:val="20"/>
              </w:rPr>
              <w:t>internacionales destinadas a mejorar el AEA y a promover el aprendizaje a lo largo de toda la</w:t>
            </w:r>
            <w:r>
              <w:rPr>
                <w:rFonts w:ascii="Arial" w:hAnsi="Arial" w:cs="Arial"/>
                <w:color w:val="000000"/>
                <w:sz w:val="20"/>
                <w:szCs w:val="20"/>
              </w:rPr>
              <w:t xml:space="preserve"> </w:t>
            </w:r>
            <w:r w:rsidRPr="00BD1316">
              <w:rPr>
                <w:rFonts w:ascii="Arial" w:hAnsi="Arial" w:cs="Arial"/>
                <w:color w:val="000000"/>
                <w:sz w:val="20"/>
                <w:szCs w:val="20"/>
              </w:rPr>
              <w:t>vida.</w:t>
            </w:r>
            <w:r>
              <w:rPr>
                <w:rFonts w:ascii="Arial" w:hAnsi="Arial" w:cs="Arial"/>
                <w:color w:val="000000"/>
                <w:sz w:val="20"/>
                <w:szCs w:val="20"/>
              </w:rPr>
              <w:t xml:space="preserve"> </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Nos comprometemos a prestar atención específica a las siguientes categorías de Estados</w:t>
            </w:r>
            <w:r>
              <w:rPr>
                <w:rFonts w:ascii="Arial" w:hAnsi="Arial" w:cs="Arial"/>
                <w:color w:val="000000"/>
                <w:sz w:val="20"/>
                <w:szCs w:val="20"/>
              </w:rPr>
              <w:t xml:space="preserve"> </w:t>
            </w:r>
            <w:r w:rsidRPr="00BD1316">
              <w:rPr>
                <w:rFonts w:ascii="Arial" w:hAnsi="Arial" w:cs="Arial"/>
                <w:color w:val="000000"/>
                <w:sz w:val="20"/>
                <w:szCs w:val="20"/>
              </w:rPr>
              <w:t>miembros, que se enfrentan a desafíos particulares para alcanzar el ODS 4 y otros ODS:</w:t>
            </w:r>
          </w:p>
          <w:p w:rsidR="00592435" w:rsidRDefault="00592435" w:rsidP="009D6CAA">
            <w:pPr>
              <w:pStyle w:val="Prrafodelista"/>
              <w:numPr>
                <w:ilvl w:val="1"/>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Los Estados miembros afectados por conflictos, teniendo en cuenta sus necesidades</w:t>
            </w:r>
            <w:r>
              <w:rPr>
                <w:rFonts w:ascii="Arial" w:hAnsi="Arial" w:cs="Arial"/>
                <w:color w:val="000000"/>
                <w:sz w:val="20"/>
                <w:szCs w:val="20"/>
              </w:rPr>
              <w:t xml:space="preserve"> </w:t>
            </w:r>
            <w:r w:rsidRPr="00BD1316">
              <w:rPr>
                <w:rFonts w:ascii="Arial" w:hAnsi="Arial" w:cs="Arial"/>
                <w:color w:val="000000"/>
                <w:sz w:val="20"/>
                <w:szCs w:val="20"/>
              </w:rPr>
              <w:t>específicas en cuanto a la participación en el AEA, incluyendo a los refugiados y las</w:t>
            </w:r>
            <w:r>
              <w:rPr>
                <w:rFonts w:ascii="Arial" w:hAnsi="Arial" w:cs="Arial"/>
                <w:color w:val="000000"/>
                <w:sz w:val="20"/>
                <w:szCs w:val="20"/>
              </w:rPr>
              <w:t xml:space="preserve"> </w:t>
            </w:r>
            <w:r w:rsidRPr="00BD1316">
              <w:rPr>
                <w:rFonts w:ascii="Arial" w:hAnsi="Arial" w:cs="Arial"/>
                <w:color w:val="000000"/>
                <w:sz w:val="20"/>
                <w:szCs w:val="20"/>
              </w:rPr>
              <w:t>poblaciones desplazadas, y para el desarrollo de capacidades;</w:t>
            </w:r>
          </w:p>
          <w:p w:rsidR="00592435" w:rsidRDefault="00592435" w:rsidP="009D6CAA">
            <w:pPr>
              <w:pStyle w:val="Prrafodelista"/>
              <w:numPr>
                <w:ilvl w:val="1"/>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Los pequeños Estados insulares en desarrollo (PEID), teniendo en cuenta su</w:t>
            </w:r>
            <w:r>
              <w:rPr>
                <w:rFonts w:ascii="Arial" w:hAnsi="Arial" w:cs="Arial"/>
                <w:color w:val="000000"/>
                <w:sz w:val="20"/>
                <w:szCs w:val="20"/>
              </w:rPr>
              <w:t xml:space="preserve"> </w:t>
            </w:r>
            <w:r w:rsidRPr="00BD1316">
              <w:rPr>
                <w:rFonts w:ascii="Arial" w:hAnsi="Arial" w:cs="Arial"/>
                <w:color w:val="000000"/>
                <w:sz w:val="20"/>
                <w:szCs w:val="20"/>
              </w:rPr>
              <w:t>vulnerabilidad estructural, agravada por el cambio climático;</w:t>
            </w:r>
          </w:p>
          <w:p w:rsidR="00592435" w:rsidRPr="00BD1316" w:rsidRDefault="00592435" w:rsidP="009D6CAA">
            <w:pPr>
              <w:pStyle w:val="Prrafodelista"/>
              <w:numPr>
                <w:ilvl w:val="1"/>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Los Estados miembros africanos, que se enfrentan a retos educativos persistentes y</w:t>
            </w:r>
            <w:r>
              <w:rPr>
                <w:rFonts w:ascii="Arial" w:hAnsi="Arial" w:cs="Arial"/>
                <w:color w:val="000000"/>
                <w:sz w:val="20"/>
                <w:szCs w:val="20"/>
              </w:rPr>
              <w:t xml:space="preserve"> </w:t>
            </w:r>
            <w:r w:rsidRPr="00BD1316">
              <w:rPr>
                <w:rFonts w:ascii="Arial" w:hAnsi="Arial" w:cs="Arial"/>
                <w:color w:val="000000"/>
                <w:sz w:val="20"/>
                <w:szCs w:val="20"/>
              </w:rPr>
              <w:t>ofrecen grandes oportunidades para el desarrollo futuro.</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833764">
              <w:rPr>
                <w:rFonts w:ascii="Arial" w:hAnsi="Arial" w:cs="Arial"/>
                <w:color w:val="000000"/>
                <w:sz w:val="20"/>
                <w:szCs w:val="20"/>
              </w:rPr>
              <w:t>Nos comprometemos a promover la colaboración, las asociaciones y las redes, que son</w:t>
            </w:r>
            <w:r>
              <w:rPr>
                <w:rFonts w:ascii="Arial" w:hAnsi="Arial" w:cs="Arial"/>
                <w:color w:val="000000"/>
                <w:sz w:val="20"/>
                <w:szCs w:val="20"/>
              </w:rPr>
              <w:t xml:space="preserve"> </w:t>
            </w:r>
            <w:r w:rsidRPr="00BD1316">
              <w:rPr>
                <w:rFonts w:ascii="Arial" w:hAnsi="Arial" w:cs="Arial"/>
                <w:color w:val="000000"/>
                <w:sz w:val="20"/>
                <w:szCs w:val="20"/>
              </w:rPr>
              <w:t>fundamentales para implementar el Marco de acción de Marrakech. Esto incluye las</w:t>
            </w:r>
            <w:r>
              <w:rPr>
                <w:rFonts w:ascii="Arial" w:hAnsi="Arial" w:cs="Arial"/>
                <w:color w:val="000000"/>
                <w:sz w:val="20"/>
                <w:szCs w:val="20"/>
              </w:rPr>
              <w:t xml:space="preserve"> </w:t>
            </w:r>
            <w:r w:rsidRPr="00BD1316">
              <w:rPr>
                <w:rFonts w:ascii="Arial" w:hAnsi="Arial" w:cs="Arial"/>
                <w:color w:val="000000"/>
                <w:sz w:val="20"/>
                <w:szCs w:val="20"/>
              </w:rPr>
              <w:t>asociaciones y la colaboración intersectoriales, así como el intercambio dinámico de</w:t>
            </w:r>
            <w:r>
              <w:rPr>
                <w:rFonts w:ascii="Arial" w:hAnsi="Arial" w:cs="Arial"/>
                <w:color w:val="000000"/>
                <w:sz w:val="20"/>
                <w:szCs w:val="20"/>
              </w:rPr>
              <w:t xml:space="preserve"> </w:t>
            </w:r>
            <w:r w:rsidRPr="00BD1316">
              <w:rPr>
                <w:rFonts w:ascii="Arial" w:hAnsi="Arial" w:cs="Arial"/>
                <w:color w:val="000000"/>
                <w:sz w:val="20"/>
                <w:szCs w:val="20"/>
              </w:rPr>
              <w:t>conocimientos entre los Estados miembros. Se apoyarán y promoverán las asociaciones y</w:t>
            </w:r>
            <w:r>
              <w:rPr>
                <w:rFonts w:ascii="Arial" w:hAnsi="Arial" w:cs="Arial"/>
                <w:color w:val="000000"/>
                <w:sz w:val="20"/>
                <w:szCs w:val="20"/>
              </w:rPr>
              <w:t xml:space="preserve"> </w:t>
            </w:r>
            <w:r w:rsidRPr="00BD1316">
              <w:rPr>
                <w:rFonts w:ascii="Arial" w:hAnsi="Arial" w:cs="Arial"/>
                <w:color w:val="000000"/>
                <w:sz w:val="20"/>
                <w:szCs w:val="20"/>
              </w:rPr>
              <w:t xml:space="preserve">colaboraciones multisectoriales, incluida la sociedad civil, </w:t>
            </w:r>
            <w:r w:rsidRPr="00BD1316">
              <w:rPr>
                <w:rFonts w:ascii="Arial" w:hAnsi="Arial" w:cs="Arial"/>
                <w:color w:val="000000"/>
                <w:sz w:val="20"/>
                <w:szCs w:val="20"/>
              </w:rPr>
              <w:lastRenderedPageBreak/>
              <w:t>a nivel local, nacional, regional,</w:t>
            </w:r>
            <w:r>
              <w:rPr>
                <w:rFonts w:ascii="Arial" w:hAnsi="Arial" w:cs="Arial"/>
                <w:color w:val="000000"/>
                <w:sz w:val="20"/>
                <w:szCs w:val="20"/>
              </w:rPr>
              <w:t xml:space="preserve"> </w:t>
            </w:r>
            <w:r w:rsidRPr="00BD1316">
              <w:rPr>
                <w:rFonts w:ascii="Arial" w:hAnsi="Arial" w:cs="Arial"/>
                <w:color w:val="000000"/>
                <w:sz w:val="20"/>
                <w:szCs w:val="20"/>
              </w:rPr>
              <w:t>subregional y mundial.</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Nos comprometemos a encargar a una institución o centro de coordinación a nivel nacional</w:t>
            </w:r>
            <w:r>
              <w:rPr>
                <w:rFonts w:ascii="Arial" w:hAnsi="Arial" w:cs="Arial"/>
                <w:color w:val="000000"/>
                <w:sz w:val="20"/>
                <w:szCs w:val="20"/>
              </w:rPr>
              <w:t xml:space="preserve"> </w:t>
            </w:r>
            <w:r w:rsidRPr="00BD1316">
              <w:rPr>
                <w:rFonts w:ascii="Arial" w:hAnsi="Arial" w:cs="Arial"/>
                <w:color w:val="000000"/>
                <w:sz w:val="20"/>
                <w:szCs w:val="20"/>
              </w:rPr>
              <w:t>la recopilación de datos sobre la provisión del AEA, y a supervisar la implementación del</w:t>
            </w:r>
            <w:r>
              <w:rPr>
                <w:rFonts w:ascii="Arial" w:hAnsi="Arial" w:cs="Arial"/>
                <w:color w:val="000000"/>
                <w:sz w:val="20"/>
                <w:szCs w:val="20"/>
              </w:rPr>
              <w:t xml:space="preserve"> </w:t>
            </w:r>
            <w:r w:rsidRPr="00BD1316">
              <w:rPr>
                <w:rFonts w:ascii="Arial" w:hAnsi="Arial" w:cs="Arial"/>
                <w:color w:val="000000"/>
                <w:sz w:val="20"/>
                <w:szCs w:val="20"/>
              </w:rPr>
              <w:t>Marco de acción de Marrakech.</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Invitamos a la UNESCO, como principal organismo de las Naciones Unidas para la educación,</w:t>
            </w:r>
            <w:r>
              <w:rPr>
                <w:rFonts w:ascii="Arial" w:hAnsi="Arial" w:cs="Arial"/>
                <w:color w:val="000000"/>
                <w:sz w:val="20"/>
                <w:szCs w:val="20"/>
              </w:rPr>
              <w:t xml:space="preserve"> </w:t>
            </w:r>
            <w:r w:rsidRPr="00BD1316">
              <w:rPr>
                <w:rFonts w:ascii="Arial" w:hAnsi="Arial" w:cs="Arial"/>
                <w:color w:val="000000"/>
                <w:sz w:val="20"/>
                <w:szCs w:val="20"/>
              </w:rPr>
              <w:t>a que apoye la promulgación de este marco de acción en cooperación con los Estados</w:t>
            </w:r>
            <w:r>
              <w:rPr>
                <w:rFonts w:ascii="Arial" w:hAnsi="Arial" w:cs="Arial"/>
                <w:color w:val="000000"/>
                <w:sz w:val="20"/>
                <w:szCs w:val="20"/>
              </w:rPr>
              <w:t xml:space="preserve"> </w:t>
            </w:r>
            <w:r w:rsidRPr="00BD1316">
              <w:rPr>
                <w:rFonts w:ascii="Arial" w:hAnsi="Arial" w:cs="Arial"/>
                <w:color w:val="000000"/>
                <w:sz w:val="20"/>
                <w:szCs w:val="20"/>
              </w:rPr>
              <w:t>miembros, garantizando la revisión periódica de los progresos realizados.</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Nos comprometemos a hacer avanzar este Marco de acción a través de los mecanismos</w:t>
            </w:r>
            <w:r>
              <w:rPr>
                <w:rFonts w:ascii="Arial" w:hAnsi="Arial" w:cs="Arial"/>
                <w:color w:val="000000"/>
                <w:sz w:val="20"/>
                <w:szCs w:val="20"/>
              </w:rPr>
              <w:t xml:space="preserve"> </w:t>
            </w:r>
            <w:r w:rsidRPr="00BD1316">
              <w:rPr>
                <w:rFonts w:ascii="Arial" w:hAnsi="Arial" w:cs="Arial"/>
                <w:color w:val="000000"/>
                <w:sz w:val="20"/>
                <w:szCs w:val="20"/>
              </w:rPr>
              <w:t>pertinentes a nivel mundial, regional, nacional y local, aprovechando la arquitectura mundial</w:t>
            </w:r>
            <w:r>
              <w:rPr>
                <w:rFonts w:ascii="Arial" w:hAnsi="Arial" w:cs="Arial"/>
                <w:color w:val="000000"/>
                <w:sz w:val="20"/>
                <w:szCs w:val="20"/>
              </w:rPr>
              <w:t xml:space="preserve"> </w:t>
            </w:r>
            <w:r w:rsidRPr="00BD1316">
              <w:rPr>
                <w:rFonts w:ascii="Arial" w:hAnsi="Arial" w:cs="Arial"/>
                <w:color w:val="000000"/>
                <w:sz w:val="20"/>
                <w:szCs w:val="20"/>
              </w:rPr>
              <w:t>del ODS 4, que incluye mecanismos y plataformas como el GRALE, la Alianza Mundial para el</w:t>
            </w:r>
            <w:r>
              <w:rPr>
                <w:rFonts w:ascii="Arial" w:hAnsi="Arial" w:cs="Arial"/>
                <w:color w:val="000000"/>
                <w:sz w:val="20"/>
                <w:szCs w:val="20"/>
              </w:rPr>
              <w:t xml:space="preserve"> </w:t>
            </w:r>
            <w:r w:rsidRPr="00BD1316">
              <w:rPr>
                <w:rFonts w:ascii="Arial" w:hAnsi="Arial" w:cs="Arial"/>
                <w:color w:val="000000"/>
                <w:sz w:val="20"/>
                <w:szCs w:val="20"/>
              </w:rPr>
              <w:t>Mantenimiento del Aprendizaje (GAML), la Alianza Mundial para la Alfabetización (GAL), el</w:t>
            </w:r>
            <w:r>
              <w:rPr>
                <w:rFonts w:ascii="Arial" w:hAnsi="Arial" w:cs="Arial"/>
                <w:color w:val="000000"/>
                <w:sz w:val="20"/>
                <w:szCs w:val="20"/>
              </w:rPr>
              <w:t xml:space="preserve"> I</w:t>
            </w:r>
            <w:r w:rsidRPr="00BD1316">
              <w:rPr>
                <w:rFonts w:ascii="Arial" w:hAnsi="Arial" w:cs="Arial"/>
                <w:color w:val="000000"/>
                <w:sz w:val="20"/>
                <w:szCs w:val="20"/>
              </w:rPr>
              <w:t>nforme de Seguimiento de la Educación en el Mundo, el Comité Directivo de Alto Nivel del</w:t>
            </w:r>
            <w:r>
              <w:rPr>
                <w:rFonts w:ascii="Arial" w:hAnsi="Arial" w:cs="Arial"/>
                <w:color w:val="000000"/>
                <w:sz w:val="20"/>
                <w:szCs w:val="20"/>
              </w:rPr>
              <w:t xml:space="preserve"> </w:t>
            </w:r>
            <w:r w:rsidRPr="00BD1316">
              <w:rPr>
                <w:rFonts w:ascii="Arial" w:hAnsi="Arial" w:cs="Arial"/>
                <w:color w:val="000000"/>
                <w:sz w:val="20"/>
                <w:szCs w:val="20"/>
              </w:rPr>
              <w:t>ODS 4-Educación 2030, el Foro Político de Alto Nivel sobre el Desarrollo Sostenible, el trabajo</w:t>
            </w:r>
            <w:r>
              <w:rPr>
                <w:rFonts w:ascii="Arial" w:hAnsi="Arial" w:cs="Arial"/>
                <w:color w:val="000000"/>
                <w:sz w:val="20"/>
                <w:szCs w:val="20"/>
              </w:rPr>
              <w:t xml:space="preserve"> </w:t>
            </w:r>
            <w:r w:rsidRPr="00BD1316">
              <w:rPr>
                <w:rFonts w:ascii="Arial" w:hAnsi="Arial" w:cs="Arial"/>
                <w:color w:val="000000"/>
                <w:sz w:val="20"/>
                <w:szCs w:val="20"/>
              </w:rPr>
              <w:t>de los socios internacionales, incluidas las organizaciones no gubernamentales, y el</w:t>
            </w:r>
            <w:r>
              <w:rPr>
                <w:rFonts w:ascii="Arial" w:hAnsi="Arial" w:cs="Arial"/>
                <w:color w:val="000000"/>
                <w:sz w:val="20"/>
                <w:szCs w:val="20"/>
              </w:rPr>
              <w:t xml:space="preserve"> se</w:t>
            </w:r>
            <w:r w:rsidRPr="00BD1316">
              <w:rPr>
                <w:rFonts w:ascii="Arial" w:hAnsi="Arial" w:cs="Arial"/>
                <w:color w:val="000000"/>
                <w:sz w:val="20"/>
                <w:szCs w:val="20"/>
              </w:rPr>
              <w:t>guimiento a nivel nacional.</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Siguiendo la tradición del GRALE, nos comprometemos a establecer y aplicar sistemas de</w:t>
            </w:r>
            <w:r>
              <w:rPr>
                <w:rFonts w:ascii="Arial" w:hAnsi="Arial" w:cs="Arial"/>
                <w:color w:val="000000"/>
                <w:sz w:val="20"/>
                <w:szCs w:val="20"/>
              </w:rPr>
              <w:t xml:space="preserve"> </w:t>
            </w:r>
            <w:r w:rsidRPr="00BD1316">
              <w:rPr>
                <w:rFonts w:ascii="Arial" w:hAnsi="Arial" w:cs="Arial"/>
                <w:color w:val="000000"/>
                <w:sz w:val="20"/>
                <w:szCs w:val="20"/>
              </w:rPr>
              <w:t>información fiables, válidos, transparentes y accesibles, así como sistemas de seguimiento</w:t>
            </w:r>
            <w:r>
              <w:rPr>
                <w:rFonts w:ascii="Arial" w:hAnsi="Arial" w:cs="Arial"/>
                <w:color w:val="000000"/>
                <w:sz w:val="20"/>
                <w:szCs w:val="20"/>
              </w:rPr>
              <w:t xml:space="preserve"> </w:t>
            </w:r>
            <w:r w:rsidRPr="00BD1316">
              <w:rPr>
                <w:rFonts w:ascii="Arial" w:hAnsi="Arial" w:cs="Arial"/>
                <w:color w:val="000000"/>
                <w:sz w:val="20"/>
                <w:szCs w:val="20"/>
              </w:rPr>
              <w:t>que tengan en cuenta la perspectiva de género, y que puedan producir datos pertinentes y</w:t>
            </w:r>
            <w:r>
              <w:rPr>
                <w:rFonts w:ascii="Arial" w:hAnsi="Arial" w:cs="Arial"/>
                <w:color w:val="000000"/>
                <w:sz w:val="20"/>
                <w:szCs w:val="20"/>
              </w:rPr>
              <w:t xml:space="preserve"> </w:t>
            </w:r>
            <w:r w:rsidRPr="00BD1316">
              <w:rPr>
                <w:rFonts w:ascii="Arial" w:hAnsi="Arial" w:cs="Arial"/>
                <w:color w:val="000000"/>
                <w:sz w:val="20"/>
                <w:szCs w:val="20"/>
              </w:rPr>
              <w:t>precisos para supervisar la aplicación del MAE y facilitar el intercambio de conocimientos y</w:t>
            </w:r>
            <w:r>
              <w:rPr>
                <w:rFonts w:ascii="Arial" w:hAnsi="Arial" w:cs="Arial"/>
                <w:color w:val="000000"/>
                <w:sz w:val="20"/>
                <w:szCs w:val="20"/>
              </w:rPr>
              <w:t xml:space="preserve"> </w:t>
            </w:r>
            <w:r w:rsidRPr="00BD1316">
              <w:rPr>
                <w:rFonts w:ascii="Arial" w:hAnsi="Arial" w:cs="Arial"/>
                <w:color w:val="000000"/>
                <w:sz w:val="20"/>
                <w:szCs w:val="20"/>
              </w:rPr>
              <w:t>mejores prácticas entre los Estados miembros.</w:t>
            </w:r>
          </w:p>
          <w:p w:rsid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Pedimos a la UNESCO que coordine, a través del Instituto de la UNESCO para el Aprendizaje</w:t>
            </w:r>
            <w:r>
              <w:rPr>
                <w:rFonts w:ascii="Arial" w:hAnsi="Arial" w:cs="Arial"/>
                <w:color w:val="000000"/>
                <w:sz w:val="20"/>
                <w:szCs w:val="20"/>
              </w:rPr>
              <w:t xml:space="preserve"> </w:t>
            </w:r>
            <w:r w:rsidRPr="00BD1316">
              <w:rPr>
                <w:rFonts w:ascii="Arial" w:hAnsi="Arial" w:cs="Arial"/>
                <w:color w:val="000000"/>
                <w:sz w:val="20"/>
                <w:szCs w:val="20"/>
              </w:rPr>
              <w:t>a lo Largo de Toda la Vida, un proceso de seguimiento a nivel mundial para hacer un balance</w:t>
            </w:r>
            <w:r>
              <w:rPr>
                <w:rFonts w:ascii="Arial" w:hAnsi="Arial" w:cs="Arial"/>
                <w:color w:val="000000"/>
                <w:sz w:val="20"/>
                <w:szCs w:val="20"/>
              </w:rPr>
              <w:t xml:space="preserve"> </w:t>
            </w:r>
            <w:r w:rsidRPr="00BD1316">
              <w:rPr>
                <w:rFonts w:ascii="Arial" w:hAnsi="Arial" w:cs="Arial"/>
                <w:color w:val="000000"/>
                <w:sz w:val="20"/>
                <w:szCs w:val="20"/>
              </w:rPr>
              <w:t>e informar periódicamente sobre los progresos en materia de AEA, a través de instrumentos</w:t>
            </w:r>
            <w:r>
              <w:rPr>
                <w:rFonts w:ascii="Arial" w:hAnsi="Arial" w:cs="Arial"/>
                <w:color w:val="000000"/>
                <w:sz w:val="20"/>
                <w:szCs w:val="20"/>
              </w:rPr>
              <w:t xml:space="preserve"> </w:t>
            </w:r>
            <w:r w:rsidRPr="00BD1316">
              <w:rPr>
                <w:rFonts w:ascii="Arial" w:hAnsi="Arial" w:cs="Arial"/>
                <w:color w:val="000000"/>
                <w:sz w:val="20"/>
                <w:szCs w:val="20"/>
              </w:rPr>
              <w:t>específicos, incluido un Informe Mundial, y una revisión intermedia de CONFINTEA en 2028</w:t>
            </w:r>
            <w:r>
              <w:rPr>
                <w:rFonts w:ascii="Arial" w:hAnsi="Arial" w:cs="Arial"/>
                <w:color w:val="000000"/>
                <w:sz w:val="20"/>
                <w:szCs w:val="20"/>
              </w:rPr>
              <w:t xml:space="preserve"> </w:t>
            </w:r>
            <w:r w:rsidRPr="00BD1316">
              <w:rPr>
                <w:rFonts w:ascii="Arial" w:hAnsi="Arial" w:cs="Arial"/>
                <w:color w:val="000000"/>
                <w:sz w:val="20"/>
                <w:szCs w:val="20"/>
              </w:rPr>
              <w:t>para evaluar los progresos realizados.</w:t>
            </w:r>
          </w:p>
          <w:p w:rsidR="00592435" w:rsidRPr="00592435" w:rsidRDefault="00592435" w:rsidP="009D6CAA">
            <w:pPr>
              <w:pStyle w:val="Prrafodelista"/>
              <w:numPr>
                <w:ilvl w:val="0"/>
                <w:numId w:val="1"/>
              </w:numPr>
              <w:autoSpaceDE w:val="0"/>
              <w:autoSpaceDN w:val="0"/>
              <w:adjustRightInd w:val="0"/>
              <w:spacing w:line="276" w:lineRule="auto"/>
              <w:jc w:val="both"/>
              <w:rPr>
                <w:rFonts w:ascii="Arial" w:hAnsi="Arial" w:cs="Arial"/>
                <w:color w:val="000000"/>
                <w:sz w:val="20"/>
                <w:szCs w:val="20"/>
              </w:rPr>
            </w:pPr>
            <w:r w:rsidRPr="00BD1316">
              <w:rPr>
                <w:rFonts w:ascii="Arial" w:hAnsi="Arial" w:cs="Arial"/>
                <w:color w:val="000000"/>
                <w:sz w:val="20"/>
                <w:szCs w:val="20"/>
              </w:rPr>
              <w:t xml:space="preserve">Por lo tanto, adoptamos el </w:t>
            </w:r>
            <w:r w:rsidRPr="00BD1316">
              <w:rPr>
                <w:rFonts w:ascii="Arial" w:hAnsi="Arial" w:cs="Arial"/>
                <w:b/>
                <w:bCs/>
                <w:color w:val="000000"/>
                <w:sz w:val="20"/>
                <w:szCs w:val="20"/>
              </w:rPr>
              <w:t xml:space="preserve">Marco de acción de Marrakech </w:t>
            </w:r>
            <w:r w:rsidRPr="00BD1316">
              <w:rPr>
                <w:rFonts w:ascii="Arial" w:hAnsi="Arial" w:cs="Arial"/>
                <w:color w:val="000000"/>
                <w:sz w:val="20"/>
                <w:szCs w:val="20"/>
              </w:rPr>
              <w:t>para guiarnos en el</w:t>
            </w:r>
            <w:r>
              <w:rPr>
                <w:rFonts w:ascii="Arial" w:hAnsi="Arial" w:cs="Arial"/>
                <w:color w:val="000000"/>
                <w:sz w:val="20"/>
                <w:szCs w:val="20"/>
              </w:rPr>
              <w:t xml:space="preserve"> </w:t>
            </w:r>
            <w:r w:rsidRPr="00BD1316">
              <w:rPr>
                <w:rFonts w:ascii="Arial" w:hAnsi="Arial" w:cs="Arial"/>
                <w:color w:val="000000"/>
                <w:sz w:val="20"/>
                <w:szCs w:val="20"/>
              </w:rPr>
              <w:t>aprovechamiento del poder y el potencial transformador del AEA dentro de una perspectiva</w:t>
            </w:r>
            <w:r>
              <w:rPr>
                <w:rFonts w:ascii="Arial" w:hAnsi="Arial" w:cs="Arial"/>
                <w:color w:val="000000"/>
                <w:sz w:val="20"/>
                <w:szCs w:val="20"/>
              </w:rPr>
              <w:t xml:space="preserve"> </w:t>
            </w:r>
            <w:r w:rsidRPr="00BD1316">
              <w:rPr>
                <w:rFonts w:ascii="Arial" w:hAnsi="Arial" w:cs="Arial"/>
                <w:color w:val="000000"/>
                <w:sz w:val="20"/>
                <w:szCs w:val="20"/>
              </w:rPr>
              <w:t>de aprendizaje a lo largo de toda la vida para un futuro socialmente cohesionado,</w:t>
            </w:r>
            <w:r>
              <w:rPr>
                <w:rFonts w:ascii="Arial" w:hAnsi="Arial" w:cs="Arial"/>
                <w:color w:val="000000"/>
                <w:sz w:val="20"/>
                <w:szCs w:val="20"/>
              </w:rPr>
              <w:t xml:space="preserve"> </w:t>
            </w:r>
            <w:r w:rsidRPr="00BD1316">
              <w:rPr>
                <w:rFonts w:ascii="Arial" w:hAnsi="Arial" w:cs="Arial"/>
                <w:color w:val="000000"/>
                <w:sz w:val="20"/>
                <w:szCs w:val="20"/>
              </w:rPr>
              <w:t>satisfactorio y sostenible para todos.</w:t>
            </w:r>
          </w:p>
        </w:tc>
        <w:tc>
          <w:tcPr>
            <w:tcW w:w="2126" w:type="dxa"/>
          </w:tcPr>
          <w:p w:rsidR="00592435" w:rsidRPr="00AA1CB7" w:rsidRDefault="00592435" w:rsidP="009D6CAA">
            <w:pPr>
              <w:autoSpaceDE w:val="0"/>
              <w:autoSpaceDN w:val="0"/>
              <w:adjustRightInd w:val="0"/>
              <w:spacing w:line="276" w:lineRule="auto"/>
              <w:jc w:val="both"/>
              <w:rPr>
                <w:rFonts w:ascii="Arial" w:hAnsi="Arial" w:cs="Arial"/>
                <w:b/>
                <w:bCs/>
                <w:color w:val="0000CC"/>
                <w:sz w:val="20"/>
                <w:szCs w:val="20"/>
              </w:rPr>
            </w:pPr>
            <w:r>
              <w:rPr>
                <w:rFonts w:ascii="Arial" w:hAnsi="Arial" w:cs="Arial"/>
                <w:b/>
                <w:bCs/>
                <w:color w:val="0000CC"/>
                <w:sz w:val="20"/>
                <w:szCs w:val="20"/>
              </w:rPr>
              <w:lastRenderedPageBreak/>
              <w:t>Cooperación Internacional para la ejecución y el seguimiento</w:t>
            </w:r>
          </w:p>
          <w:p w:rsidR="00592435" w:rsidRDefault="00592435" w:rsidP="009D6CAA">
            <w:pPr>
              <w:autoSpaceDE w:val="0"/>
              <w:autoSpaceDN w:val="0"/>
              <w:adjustRightInd w:val="0"/>
              <w:spacing w:line="276" w:lineRule="auto"/>
              <w:jc w:val="both"/>
              <w:rPr>
                <w:rFonts w:ascii="Arial" w:hAnsi="Arial" w:cs="Arial"/>
                <w:bCs/>
                <w:color w:val="000000"/>
                <w:sz w:val="20"/>
                <w:szCs w:val="20"/>
              </w:rPr>
            </w:pPr>
            <w:r w:rsidRPr="00592435">
              <w:rPr>
                <w:rFonts w:ascii="Arial" w:hAnsi="Arial" w:cs="Arial"/>
                <w:bCs/>
                <w:color w:val="000000"/>
                <w:sz w:val="20"/>
                <w:szCs w:val="20"/>
              </w:rPr>
              <w:t>¿Son útiles los mecanismos y procesos para ejecutar el Marco de Acción de Marrakech e informar sobre cómo se está avanzando en su implementación?</w:t>
            </w:r>
            <w:r>
              <w:rPr>
                <w:rFonts w:ascii="Arial" w:hAnsi="Arial" w:cs="Arial"/>
                <w:bCs/>
                <w:color w:val="000000"/>
                <w:sz w:val="20"/>
                <w:szCs w:val="20"/>
              </w:rPr>
              <w:t xml:space="preserve"> Si/No</w:t>
            </w:r>
          </w:p>
          <w:p w:rsidR="00592435" w:rsidRDefault="00592435" w:rsidP="009D6CAA">
            <w:pPr>
              <w:autoSpaceDE w:val="0"/>
              <w:autoSpaceDN w:val="0"/>
              <w:adjustRightInd w:val="0"/>
              <w:spacing w:line="276" w:lineRule="auto"/>
              <w:jc w:val="both"/>
              <w:rPr>
                <w:rFonts w:ascii="Arial" w:hAnsi="Arial" w:cs="Arial"/>
                <w:bCs/>
                <w:color w:val="000000"/>
                <w:sz w:val="20"/>
                <w:szCs w:val="20"/>
              </w:rPr>
            </w:pPr>
          </w:p>
          <w:p w:rsidR="00592435" w:rsidRPr="00AC1681" w:rsidRDefault="00592435" w:rsidP="009D6CAA">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 xml:space="preserve">Si la respuesta es NO: </w:t>
            </w:r>
            <w:r w:rsidRPr="00592435">
              <w:rPr>
                <w:rFonts w:ascii="Arial" w:hAnsi="Arial" w:cs="Arial"/>
                <w:bCs/>
                <w:color w:val="000000"/>
                <w:sz w:val="20"/>
                <w:szCs w:val="20"/>
              </w:rPr>
              <w:t>¿De qué otras maneras pueden la UNESCO, los Estados miembros de la UNESCO y otras partes interesadas apoyar la ejecución y el seguimiento del Marco de Acción de Marrakech?</w:t>
            </w:r>
          </w:p>
        </w:tc>
        <w:tc>
          <w:tcPr>
            <w:tcW w:w="4532" w:type="dxa"/>
          </w:tcPr>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t>(38) Los Países Menos Adelantados deben ser incluidos en las prioridades de la cooperación internacional Antes de la pandemia, los avances de los PMA en materia de desarrollo estaban rezagados y, sin la ayuda coordinada de la comunidad internacional, se quedarán atrás, como documenta la UNCTAD. Las conferencias, los programas de acción y el compromiso de los PMA tienen una larga historia que marca el estado de la solidaridad mundial. El desarrollo de capacidades y la educación son algunas de las medidas fundamentales para el desarrollo de los PMA, especialmente teniendo en cuenta la contribución del AEA a los logros de los ODS en materia de pobreza, desarrollo, igualdad, etc.</w:t>
            </w: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t>(40) Contar con un punto focal sería estupendo, pero en aras de la sostenibilidad y la continuidad, debería recomendarse un formato de compromiso de múltiples partes interesadas, un mecanismo transparente, participativo y de múltiples partes interesadas que sería convocado por una institución focal a nivel nacional.</w:t>
            </w: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p>
          <w:p w:rsidR="009D6CAA" w:rsidRDefault="00592435" w:rsidP="009D6CAA">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t xml:space="preserve">(44) </w:t>
            </w:r>
            <w:r w:rsidR="009D6CAA" w:rsidRPr="009D6CAA">
              <w:rPr>
                <w:rFonts w:ascii="Arial" w:hAnsi="Arial" w:cs="Arial"/>
                <w:bCs/>
                <w:color w:val="000000"/>
                <w:sz w:val="20"/>
                <w:szCs w:val="20"/>
                <w:lang w:val="es-EC"/>
              </w:rPr>
              <w:t>ES VITAL QUE SE PRODUZCAN DATOS DE CALIDAD, DIAGNÓSTICOS AMPLIOS Y FIABLES PARA LA EPJA, priorizar la investigación y sistematización de experiencias para la evaluación de las políticas públicas, así como de los acuerdos internacionales; compartir experiencias, la rendición de cuentas, conocer la realidad, introducir mejoras en las prácticas. Contar con observatorios regionales y/o nacionales de la EPJA, así como con la creación de una relatoría especial.</w:t>
            </w:r>
          </w:p>
          <w:p w:rsidR="00592435" w:rsidRPr="00592435" w:rsidRDefault="00592435" w:rsidP="009D6CAA">
            <w:pPr>
              <w:autoSpaceDE w:val="0"/>
              <w:autoSpaceDN w:val="0"/>
              <w:adjustRightInd w:val="0"/>
              <w:spacing w:line="276" w:lineRule="auto"/>
              <w:jc w:val="both"/>
              <w:rPr>
                <w:rFonts w:ascii="Arial" w:hAnsi="Arial" w:cs="Arial"/>
                <w:bCs/>
                <w:color w:val="000000"/>
                <w:sz w:val="20"/>
                <w:szCs w:val="20"/>
                <w:lang w:val="es-EC"/>
              </w:rPr>
            </w:pPr>
            <w:r w:rsidRPr="00592435">
              <w:rPr>
                <w:rFonts w:ascii="Arial" w:hAnsi="Arial" w:cs="Arial"/>
                <w:bCs/>
                <w:color w:val="000000"/>
                <w:sz w:val="20"/>
                <w:szCs w:val="20"/>
                <w:lang w:val="es-EC"/>
              </w:rPr>
              <w:lastRenderedPageBreak/>
              <w:t xml:space="preserve">La falta de datos y de mecanismos de seguimiento </w:t>
            </w:r>
            <w:proofErr w:type="gramStart"/>
            <w:r w:rsidRPr="00592435">
              <w:rPr>
                <w:rFonts w:ascii="Arial" w:hAnsi="Arial" w:cs="Arial"/>
                <w:bCs/>
                <w:color w:val="000000"/>
                <w:sz w:val="20"/>
                <w:szCs w:val="20"/>
                <w:lang w:val="es-EC"/>
              </w:rPr>
              <w:t>fueron</w:t>
            </w:r>
            <w:proofErr w:type="gramEnd"/>
            <w:r w:rsidRPr="00592435">
              <w:rPr>
                <w:rFonts w:ascii="Arial" w:hAnsi="Arial" w:cs="Arial"/>
                <w:bCs/>
                <w:color w:val="000000"/>
                <w:sz w:val="20"/>
                <w:szCs w:val="20"/>
                <w:lang w:val="es-EC"/>
              </w:rPr>
              <w:t xml:space="preserve"> y son un obstáculo para incluir el AEA en los esquemas de seguimiento de los ODS-ODS4 y para supervisar los progresos y crear políticas a nivel nacional. Los Estados miembros y las principales partes interesadas deben recibir el apoyo de la UNESCO, en particular del IEU y el IUAL, para crear sistemas de seguimiento y evaluación sostenibles y de alta calidad y garantizar la presentación de informes para los indicadores del ODS 4. El compromiso con el GRALE como instrumento de seguimiento regular debería ser más fuerte. Debería añadirse la necesidad de un plan específico para una revisión intermedia y mecanismos regionales. La UNESCO debe incorporar el </w:t>
            </w:r>
            <w:proofErr w:type="spellStart"/>
            <w:r w:rsidRPr="00592435">
              <w:rPr>
                <w:rFonts w:ascii="Arial" w:hAnsi="Arial" w:cs="Arial"/>
                <w:bCs/>
                <w:color w:val="000000"/>
                <w:sz w:val="20"/>
                <w:szCs w:val="20"/>
                <w:lang w:val="es-EC"/>
              </w:rPr>
              <w:t>MFfA</w:t>
            </w:r>
            <w:proofErr w:type="spellEnd"/>
            <w:r w:rsidRPr="00592435">
              <w:rPr>
                <w:rFonts w:ascii="Arial" w:hAnsi="Arial" w:cs="Arial"/>
                <w:bCs/>
                <w:color w:val="000000"/>
                <w:sz w:val="20"/>
                <w:szCs w:val="20"/>
                <w:lang w:val="es-EC"/>
              </w:rPr>
              <w:t xml:space="preserve"> y el RALE dentro de los procesos y la arquitectura de implementación del ODS 4, como el Comité Directivo del ODS-Educación 2030 y los mecanismos regionales de coordinación del ODS 4, así como dentro de las estructuras más amplias de la ONU. Deben utilizarse como referencia para las revisiones nacionales voluntarias y los foros políticos de alto nivel sobre el desarrollo sostenible, así como para orientar el trabajo de la Alianza Mundial para la Alfabetización</w:t>
            </w:r>
          </w:p>
        </w:tc>
      </w:tr>
    </w:tbl>
    <w:p w:rsidR="00714EE7" w:rsidRDefault="00714EE7" w:rsidP="00D219A1">
      <w:pPr>
        <w:autoSpaceDE w:val="0"/>
        <w:autoSpaceDN w:val="0"/>
        <w:adjustRightInd w:val="0"/>
        <w:spacing w:after="0"/>
        <w:jc w:val="both"/>
        <w:rPr>
          <w:rFonts w:ascii="Arial" w:hAnsi="Arial" w:cs="Arial"/>
          <w:b/>
          <w:bCs/>
          <w:color w:val="000000"/>
          <w:sz w:val="20"/>
          <w:szCs w:val="20"/>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3B666B" w:rsidRDefault="003B666B" w:rsidP="009D6CAA">
      <w:pPr>
        <w:pStyle w:val="Sinespaciado"/>
        <w:rPr>
          <w:b/>
          <w:color w:val="0000CC"/>
        </w:rPr>
      </w:pPr>
    </w:p>
    <w:p w:rsidR="009D6CAA" w:rsidRPr="00F46BC9" w:rsidRDefault="009D6CAA" w:rsidP="009D6CAA">
      <w:pPr>
        <w:pStyle w:val="Sinespaciado"/>
        <w:rPr>
          <w:b/>
          <w:color w:val="0000CC"/>
        </w:rPr>
      </w:pPr>
      <w:bookmarkStart w:id="0" w:name="_GoBack"/>
      <w:bookmarkEnd w:id="0"/>
      <w:r>
        <w:rPr>
          <w:b/>
          <w:color w:val="0000CC"/>
        </w:rPr>
        <w:lastRenderedPageBreak/>
        <w:t xml:space="preserve">OBSERVACIONES FINALES </w:t>
      </w:r>
    </w:p>
    <w:tbl>
      <w:tblPr>
        <w:tblStyle w:val="Tablaconcuadrcula"/>
        <w:tblW w:w="0" w:type="auto"/>
        <w:tblLook w:val="04A0" w:firstRow="1" w:lastRow="0" w:firstColumn="1" w:lastColumn="0" w:noHBand="0" w:noVBand="1"/>
      </w:tblPr>
      <w:tblGrid>
        <w:gridCol w:w="7054"/>
        <w:gridCol w:w="2126"/>
        <w:gridCol w:w="4532"/>
      </w:tblGrid>
      <w:tr w:rsidR="009D6CAA" w:rsidTr="009D6CAA">
        <w:tc>
          <w:tcPr>
            <w:tcW w:w="7054" w:type="dxa"/>
            <w:shd w:val="clear" w:color="auto" w:fill="DBE5F1" w:themeFill="accent1" w:themeFillTint="33"/>
            <w:vAlign w:val="center"/>
          </w:tcPr>
          <w:p w:rsidR="009D6CAA" w:rsidRPr="001E1E49" w:rsidRDefault="009D6CAA" w:rsidP="009D6CAA">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Versión preliminar del Marco de Acción de Marrakech, CONFINTEA VII (Textual, Versión original)</w:t>
            </w:r>
          </w:p>
        </w:tc>
        <w:tc>
          <w:tcPr>
            <w:tcW w:w="2126" w:type="dxa"/>
            <w:shd w:val="clear" w:color="auto" w:fill="DBE5F1" w:themeFill="accent1" w:themeFillTint="33"/>
          </w:tcPr>
          <w:p w:rsidR="009D6CAA" w:rsidRPr="001E1E49" w:rsidRDefault="009D6CAA" w:rsidP="009D6CAA">
            <w:pPr>
              <w:autoSpaceDE w:val="0"/>
              <w:autoSpaceDN w:val="0"/>
              <w:adjustRightInd w:val="0"/>
              <w:spacing w:line="276" w:lineRule="auto"/>
              <w:jc w:val="center"/>
              <w:rPr>
                <w:rFonts w:ascii="Arial" w:hAnsi="Arial" w:cs="Arial"/>
                <w:b/>
                <w:bCs/>
                <w:color w:val="0000CC"/>
                <w:sz w:val="20"/>
                <w:szCs w:val="20"/>
              </w:rPr>
            </w:pPr>
            <w:r w:rsidRPr="001E1E49">
              <w:rPr>
                <w:rFonts w:ascii="Arial" w:hAnsi="Arial" w:cs="Arial"/>
                <w:b/>
                <w:bCs/>
                <w:color w:val="0000CC"/>
                <w:sz w:val="20"/>
                <w:szCs w:val="20"/>
              </w:rPr>
              <w:t xml:space="preserve">Preguntas planteadas en la </w:t>
            </w:r>
            <w:hyperlink r:id="rId16" w:tgtFrame="_blank" w:history="1">
              <w:r w:rsidRPr="001E1E49">
                <w:rPr>
                  <w:rFonts w:ascii="Arial" w:hAnsi="Arial" w:cs="Arial"/>
                  <w:b/>
                  <w:bCs/>
                  <w:color w:val="0000CC"/>
                  <w:sz w:val="20"/>
                  <w:szCs w:val="20"/>
                </w:rPr>
                <w:t>Consulta Pública en línea sobre el anteproyecto del Marco de Acción de Marrakech</w:t>
              </w:r>
            </w:hyperlink>
          </w:p>
        </w:tc>
        <w:tc>
          <w:tcPr>
            <w:tcW w:w="4532" w:type="dxa"/>
            <w:shd w:val="clear" w:color="auto" w:fill="DBE5F1" w:themeFill="accent1" w:themeFillTint="33"/>
            <w:vAlign w:val="center"/>
          </w:tcPr>
          <w:p w:rsidR="009D6CAA" w:rsidRPr="001E1E49" w:rsidRDefault="009D6CAA" w:rsidP="009D6CAA">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 xml:space="preserve">Propuesta de posibles respuestas </w:t>
            </w:r>
          </w:p>
          <w:p w:rsidR="009D6CAA" w:rsidRPr="001E1E49" w:rsidRDefault="009D6CAA" w:rsidP="009D6CAA">
            <w:pPr>
              <w:autoSpaceDE w:val="0"/>
              <w:autoSpaceDN w:val="0"/>
              <w:adjustRightInd w:val="0"/>
              <w:jc w:val="center"/>
              <w:rPr>
                <w:rFonts w:ascii="Arial" w:hAnsi="Arial" w:cs="Arial"/>
                <w:b/>
                <w:bCs/>
                <w:color w:val="0000CC"/>
                <w:sz w:val="20"/>
                <w:szCs w:val="20"/>
              </w:rPr>
            </w:pPr>
            <w:r w:rsidRPr="001E1E49">
              <w:rPr>
                <w:rFonts w:ascii="Arial" w:hAnsi="Arial" w:cs="Arial"/>
                <w:b/>
                <w:bCs/>
                <w:color w:val="0000CC"/>
                <w:sz w:val="20"/>
                <w:szCs w:val="20"/>
              </w:rPr>
              <w:t>desde la sociedad civil</w:t>
            </w:r>
          </w:p>
          <w:p w:rsidR="009D6CAA" w:rsidRPr="001E1E49" w:rsidRDefault="009D6CAA" w:rsidP="009D6CAA">
            <w:pPr>
              <w:autoSpaceDE w:val="0"/>
              <w:autoSpaceDN w:val="0"/>
              <w:adjustRightInd w:val="0"/>
              <w:jc w:val="center"/>
              <w:rPr>
                <w:rFonts w:ascii="Arial" w:hAnsi="Arial" w:cs="Arial"/>
                <w:b/>
                <w:bCs/>
                <w:color w:val="0000CC"/>
                <w:sz w:val="20"/>
                <w:szCs w:val="20"/>
              </w:rPr>
            </w:pPr>
          </w:p>
        </w:tc>
      </w:tr>
      <w:tr w:rsidR="009D6CAA" w:rsidTr="009D6CAA">
        <w:tc>
          <w:tcPr>
            <w:tcW w:w="7054" w:type="dxa"/>
          </w:tcPr>
          <w:p w:rsidR="009D6CAA" w:rsidRPr="00060272" w:rsidRDefault="009D6CAA" w:rsidP="009D6CAA">
            <w:pPr>
              <w:pStyle w:val="Prrafodelista"/>
              <w:autoSpaceDE w:val="0"/>
              <w:autoSpaceDN w:val="0"/>
              <w:adjustRightInd w:val="0"/>
              <w:ind w:left="360"/>
              <w:jc w:val="both"/>
              <w:rPr>
                <w:rFonts w:ascii="Arial" w:hAnsi="Arial" w:cs="Arial"/>
                <w:bCs/>
                <w:color w:val="000000"/>
                <w:sz w:val="20"/>
                <w:szCs w:val="20"/>
              </w:rPr>
            </w:pPr>
          </w:p>
        </w:tc>
        <w:tc>
          <w:tcPr>
            <w:tcW w:w="2126" w:type="dxa"/>
          </w:tcPr>
          <w:p w:rsidR="009D6CAA" w:rsidRPr="00AA1CB7" w:rsidRDefault="009D6CAA" w:rsidP="009D6CAA">
            <w:pPr>
              <w:autoSpaceDE w:val="0"/>
              <w:autoSpaceDN w:val="0"/>
              <w:adjustRightInd w:val="0"/>
              <w:jc w:val="both"/>
              <w:rPr>
                <w:rFonts w:ascii="Arial" w:hAnsi="Arial" w:cs="Arial"/>
                <w:b/>
                <w:bCs/>
                <w:color w:val="0000CC"/>
                <w:sz w:val="20"/>
                <w:szCs w:val="20"/>
              </w:rPr>
            </w:pPr>
            <w:r>
              <w:rPr>
                <w:rFonts w:ascii="Arial" w:hAnsi="Arial" w:cs="Arial"/>
                <w:b/>
                <w:bCs/>
                <w:color w:val="0000CC"/>
                <w:sz w:val="20"/>
                <w:szCs w:val="20"/>
              </w:rPr>
              <w:t xml:space="preserve">Observaciones finales </w:t>
            </w:r>
          </w:p>
          <w:p w:rsidR="009D6CAA" w:rsidRDefault="009D6CAA" w:rsidP="009D6CAA">
            <w:pPr>
              <w:autoSpaceDE w:val="0"/>
              <w:autoSpaceDN w:val="0"/>
              <w:adjustRightInd w:val="0"/>
              <w:jc w:val="both"/>
              <w:rPr>
                <w:rFonts w:ascii="Arial" w:hAnsi="Arial" w:cs="Arial"/>
                <w:bCs/>
                <w:color w:val="000000"/>
                <w:sz w:val="20"/>
                <w:szCs w:val="20"/>
              </w:rPr>
            </w:pPr>
            <w:r w:rsidRPr="009D6CAA">
              <w:rPr>
                <w:rFonts w:ascii="Arial" w:hAnsi="Arial" w:cs="Arial"/>
                <w:bCs/>
                <w:color w:val="000000"/>
                <w:sz w:val="20"/>
                <w:szCs w:val="20"/>
              </w:rPr>
              <w:t>¿Hay algo en el anteproyecto del Marco de Acción de Marrakech que Ud. cambiaría para que este documento sea más completo y factible?</w:t>
            </w:r>
            <w:r>
              <w:rPr>
                <w:rFonts w:ascii="Arial" w:hAnsi="Arial" w:cs="Arial"/>
                <w:bCs/>
                <w:color w:val="000000"/>
                <w:sz w:val="20"/>
                <w:szCs w:val="20"/>
              </w:rPr>
              <w:t xml:space="preserve"> Si/No</w:t>
            </w:r>
          </w:p>
          <w:p w:rsidR="009D6CAA" w:rsidRDefault="009D6CAA" w:rsidP="009D6CAA">
            <w:pPr>
              <w:autoSpaceDE w:val="0"/>
              <w:autoSpaceDN w:val="0"/>
              <w:adjustRightInd w:val="0"/>
              <w:jc w:val="both"/>
              <w:rPr>
                <w:rFonts w:ascii="Arial" w:hAnsi="Arial" w:cs="Arial"/>
                <w:bCs/>
                <w:color w:val="000000"/>
                <w:sz w:val="20"/>
                <w:szCs w:val="20"/>
              </w:rPr>
            </w:pPr>
          </w:p>
          <w:p w:rsidR="009D6CAA" w:rsidRPr="00AC1681" w:rsidRDefault="009D6CAA" w:rsidP="009D6CAA">
            <w:pPr>
              <w:autoSpaceDE w:val="0"/>
              <w:autoSpaceDN w:val="0"/>
              <w:adjustRightInd w:val="0"/>
              <w:jc w:val="both"/>
              <w:rPr>
                <w:rFonts w:ascii="Arial" w:hAnsi="Arial" w:cs="Arial"/>
                <w:bCs/>
                <w:color w:val="000000"/>
                <w:sz w:val="20"/>
                <w:szCs w:val="20"/>
              </w:rPr>
            </w:pPr>
            <w:r>
              <w:rPr>
                <w:rFonts w:ascii="Arial" w:hAnsi="Arial" w:cs="Arial"/>
                <w:bCs/>
                <w:color w:val="000000"/>
                <w:sz w:val="20"/>
                <w:szCs w:val="20"/>
              </w:rPr>
              <w:t xml:space="preserve">Si la respuesta es SI: </w:t>
            </w:r>
            <w:r w:rsidRPr="009D6CAA">
              <w:rPr>
                <w:rFonts w:ascii="Arial" w:hAnsi="Arial" w:cs="Arial"/>
                <w:bCs/>
                <w:color w:val="000000"/>
                <w:sz w:val="20"/>
                <w:szCs w:val="20"/>
              </w:rPr>
              <w:t>Por favor, aporte una o dos sugerencias concretas sobre cómo el Marco de Acción de Marrakech podría ser más completo y viable.</w:t>
            </w:r>
          </w:p>
        </w:tc>
        <w:tc>
          <w:tcPr>
            <w:tcW w:w="4532" w:type="dxa"/>
          </w:tcPr>
          <w:p w:rsidR="009D6CAA" w:rsidRPr="009D6CAA" w:rsidRDefault="009D6CAA" w:rsidP="009D6CAA">
            <w:pPr>
              <w:autoSpaceDE w:val="0"/>
              <w:autoSpaceDN w:val="0"/>
              <w:adjustRightInd w:val="0"/>
              <w:spacing w:line="276" w:lineRule="auto"/>
              <w:jc w:val="both"/>
              <w:rPr>
                <w:rFonts w:ascii="Arial" w:hAnsi="Arial" w:cs="Arial"/>
                <w:bCs/>
                <w:color w:val="000000"/>
                <w:sz w:val="20"/>
                <w:szCs w:val="20"/>
              </w:rPr>
            </w:pPr>
            <w:r>
              <w:rPr>
                <w:rFonts w:ascii="Arial" w:hAnsi="Arial" w:cs="Arial"/>
                <w:bCs/>
                <w:color w:val="000000"/>
                <w:sz w:val="20"/>
                <w:szCs w:val="20"/>
              </w:rPr>
              <w:t>Considerando el contexto actual</w:t>
            </w:r>
            <w:r w:rsidRPr="009D6CAA">
              <w:rPr>
                <w:rFonts w:ascii="Arial" w:hAnsi="Arial" w:cs="Arial"/>
                <w:bCs/>
                <w:color w:val="000000"/>
                <w:sz w:val="20"/>
                <w:szCs w:val="20"/>
              </w:rPr>
              <w:t>, el Marco de Acción en su conjunto debería escribirse y plantearse con retos de mayor alcance y de carácter estructural. Por ejemplo, ante la sindemia, desde la Educación de Personas Jóvenes y Adultas (EPJA) tenemos que contribuir a construir una sociedad y personas resilientes, así como una Pedagogía para la Vida; ante la crisis civilizatoria, desde la EPJA tenemos que coadyuvar a concebir de otra manera, la producción, economía y desarrollo de tal manera que se preserve la armonía con la naturaleza y se construya bienestar en todo las dimensiones de las personas y comunidades, o ante un supuesto predominio y jerarquía del “conocimiento científico y universal” desde la EPJA tenemos que contribuir a generar justicia epistémica y diálogo inter-ciencias.</w:t>
            </w:r>
          </w:p>
        </w:tc>
      </w:tr>
    </w:tbl>
    <w:p w:rsidR="00BD1316" w:rsidRDefault="00BD1316" w:rsidP="00D219A1">
      <w:pPr>
        <w:autoSpaceDE w:val="0"/>
        <w:autoSpaceDN w:val="0"/>
        <w:adjustRightInd w:val="0"/>
        <w:spacing w:after="0"/>
        <w:jc w:val="both"/>
        <w:rPr>
          <w:rFonts w:ascii="Arial" w:hAnsi="Arial" w:cs="Arial"/>
          <w:color w:val="000000"/>
          <w:sz w:val="20"/>
          <w:szCs w:val="20"/>
        </w:rPr>
      </w:pPr>
    </w:p>
    <w:sectPr w:rsidR="00BD1316" w:rsidSect="003B666B">
      <w:footerReference w:type="default" r:id="rId17"/>
      <w:pgSz w:w="15840" w:h="12240" w:orient="landscape"/>
      <w:pgMar w:top="1134" w:right="1134"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E06" w:rsidRDefault="009E6E06" w:rsidP="001C6905">
      <w:pPr>
        <w:spacing w:after="0" w:line="240" w:lineRule="auto"/>
      </w:pPr>
      <w:r>
        <w:separator/>
      </w:r>
    </w:p>
  </w:endnote>
  <w:endnote w:type="continuationSeparator" w:id="0">
    <w:p w:rsidR="009E6E06" w:rsidRDefault="009E6E06" w:rsidP="001C6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7006095"/>
      <w:docPartObj>
        <w:docPartGallery w:val="Page Numbers (Bottom of Page)"/>
        <w:docPartUnique/>
      </w:docPartObj>
    </w:sdtPr>
    <w:sdtEndPr/>
    <w:sdtContent>
      <w:p w:rsidR="003B666B" w:rsidRDefault="003B666B">
        <w:pPr>
          <w:pStyle w:val="Piedepgina"/>
          <w:jc w:val="right"/>
        </w:pPr>
        <w:r>
          <w:fldChar w:fldCharType="begin"/>
        </w:r>
        <w:r>
          <w:instrText>PAGE   \* MERGEFORMAT</w:instrText>
        </w:r>
        <w:r>
          <w:fldChar w:fldCharType="separate"/>
        </w:r>
        <w:r w:rsidR="009C5E99" w:rsidRPr="009C5E99">
          <w:rPr>
            <w:noProof/>
            <w:lang w:val="es-ES"/>
          </w:rPr>
          <w:t>19</w:t>
        </w:r>
        <w:r>
          <w:fldChar w:fldCharType="end"/>
        </w:r>
      </w:p>
    </w:sdtContent>
  </w:sdt>
  <w:p w:rsidR="003B666B" w:rsidRDefault="003B666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E06" w:rsidRDefault="009E6E06" w:rsidP="001C6905">
      <w:pPr>
        <w:spacing w:after="0" w:line="240" w:lineRule="auto"/>
      </w:pPr>
      <w:r>
        <w:separator/>
      </w:r>
    </w:p>
  </w:footnote>
  <w:footnote w:type="continuationSeparator" w:id="0">
    <w:p w:rsidR="009E6E06" w:rsidRDefault="009E6E06" w:rsidP="001C6905">
      <w:pPr>
        <w:spacing w:after="0" w:line="240" w:lineRule="auto"/>
      </w:pPr>
      <w:r>
        <w:continuationSeparator/>
      </w:r>
    </w:p>
  </w:footnote>
  <w:footnote w:id="1">
    <w:p w:rsidR="009D6CAA" w:rsidRPr="009E4D41" w:rsidRDefault="009D6CAA" w:rsidP="009E4D41">
      <w:pPr>
        <w:pStyle w:val="Textonotapie"/>
        <w:jc w:val="both"/>
        <w:rPr>
          <w:sz w:val="22"/>
        </w:rPr>
      </w:pPr>
      <w:r>
        <w:rPr>
          <w:rStyle w:val="Refdenotaalpie"/>
        </w:rPr>
        <w:footnoteRef/>
      </w:r>
      <w:r>
        <w:t xml:space="preserve"> </w:t>
      </w:r>
      <w:r w:rsidRPr="009E4D41">
        <w:rPr>
          <w:szCs w:val="18"/>
        </w:rPr>
        <w:t>Cabe señalar que las organizaciones que componen la Plataforma de Redes Regionales por la EPJA hacia la CONFINTEA VII, cada una según sus objetivos y características, por separado, prácticamente desde su creación realizaron experiencias, estudios y propuestas relacionadas al derecho a la Educación de Personas Jóvenes y Adultas y CONFINTEA VII.</w:t>
      </w:r>
    </w:p>
  </w:footnote>
  <w:footnote w:id="2">
    <w:p w:rsidR="009D6CAA" w:rsidRPr="009E4D41" w:rsidRDefault="009D6CAA" w:rsidP="009E4D41">
      <w:pPr>
        <w:autoSpaceDE w:val="0"/>
        <w:autoSpaceDN w:val="0"/>
        <w:adjustRightInd w:val="0"/>
        <w:spacing w:after="0" w:line="240" w:lineRule="auto"/>
        <w:jc w:val="both"/>
        <w:rPr>
          <w:sz w:val="20"/>
          <w:szCs w:val="18"/>
        </w:rPr>
      </w:pPr>
      <w:r>
        <w:rPr>
          <w:rStyle w:val="Refdenotaalpie"/>
        </w:rPr>
        <w:footnoteRef/>
      </w:r>
      <w:r>
        <w:t xml:space="preserve"> Corresponde mencionar que luego de la Consulta Pública, </w:t>
      </w:r>
      <w:r w:rsidRPr="009E4D41">
        <w:rPr>
          <w:sz w:val="20"/>
          <w:szCs w:val="18"/>
        </w:rPr>
        <w:t xml:space="preserve">durante la propia Conferencia de CONFINTEA VII en </w:t>
      </w:r>
      <w:r>
        <w:rPr>
          <w:sz w:val="20"/>
          <w:szCs w:val="18"/>
        </w:rPr>
        <w:t xml:space="preserve">Marrakech, </w:t>
      </w:r>
      <w:r w:rsidRPr="009E4D41">
        <w:rPr>
          <w:sz w:val="20"/>
          <w:szCs w:val="18"/>
        </w:rPr>
        <w:t xml:space="preserve">Marruecos </w:t>
      </w:r>
      <w:r>
        <w:t xml:space="preserve">quedará una </w:t>
      </w:r>
      <w:r w:rsidRPr="009E4D41">
        <w:rPr>
          <w:sz w:val="20"/>
          <w:szCs w:val="18"/>
        </w:rPr>
        <w:t xml:space="preserve">segunda oportunidad </w:t>
      </w:r>
      <w:r>
        <w:rPr>
          <w:sz w:val="20"/>
          <w:szCs w:val="18"/>
        </w:rPr>
        <w:t xml:space="preserve">de aportar a la redacción del Marco de Acción. Sin embargo, cabe </w:t>
      </w:r>
      <w:r w:rsidRPr="009E4D41">
        <w:rPr>
          <w:sz w:val="20"/>
          <w:szCs w:val="18"/>
        </w:rPr>
        <w:t>señalar que, dado que CONFINTEA VII es una Conferencia de la ONU de Categoría II, sólo los Estados miembros votan para la aprobación del Marco de Acción. Al inicio de la conferencia se constituirá un Comité de Redacción para recibir los comentarios finales</w:t>
      </w:r>
      <w:r w:rsidR="001F0440">
        <w:rPr>
          <w:sz w:val="20"/>
          <w:szCs w:val="18"/>
        </w:rPr>
        <w:t>, e</w:t>
      </w:r>
      <w:r w:rsidRPr="009E4D41">
        <w:rPr>
          <w:sz w:val="20"/>
          <w:szCs w:val="18"/>
        </w:rPr>
        <w:t>speramos que haya una representación de la sociedad civil en el Comité de Redacción. El proyecto final se presentará para su aprobación al término de la Conferencia.</w:t>
      </w:r>
    </w:p>
    <w:p w:rsidR="009D6CAA" w:rsidRPr="009E4D41" w:rsidRDefault="009D6CAA">
      <w:pPr>
        <w:pStyle w:val="Textonotapie"/>
        <w:rPr>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80B"/>
    <w:multiLevelType w:val="hybridMultilevel"/>
    <w:tmpl w:val="D2582E5A"/>
    <w:lvl w:ilvl="0" w:tplc="400A000F">
      <w:start w:val="1"/>
      <w:numFmt w:val="decimal"/>
      <w:lvlText w:val="%1."/>
      <w:lvlJc w:val="left"/>
      <w:pPr>
        <w:ind w:left="360" w:hanging="360"/>
      </w:p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1">
    <w:nsid w:val="0C06765E"/>
    <w:multiLevelType w:val="hybridMultilevel"/>
    <w:tmpl w:val="7A907A9E"/>
    <w:lvl w:ilvl="0" w:tplc="400A000F">
      <w:start w:val="1"/>
      <w:numFmt w:val="decimal"/>
      <w:lvlText w:val="%1."/>
      <w:lvlJc w:val="left"/>
      <w:pPr>
        <w:ind w:left="360" w:hanging="360"/>
      </w:pPr>
    </w:lvl>
    <w:lvl w:ilvl="1" w:tplc="400A0001">
      <w:start w:val="1"/>
      <w:numFmt w:val="bullet"/>
      <w:lvlText w:val=""/>
      <w:lvlJc w:val="left"/>
      <w:pPr>
        <w:ind w:left="1080" w:hanging="360"/>
      </w:pPr>
      <w:rPr>
        <w:rFonts w:ascii="Symbol" w:hAnsi="Symbol" w:hint="default"/>
      </w:r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abstractNum w:abstractNumId="2">
    <w:nsid w:val="34957ED8"/>
    <w:multiLevelType w:val="hybridMultilevel"/>
    <w:tmpl w:val="CD0CC2FC"/>
    <w:lvl w:ilvl="0" w:tplc="C8806050">
      <w:start w:val="1"/>
      <w:numFmt w:val="lowerLetter"/>
      <w:lvlText w:val="%1."/>
      <w:lvlJc w:val="left"/>
      <w:pPr>
        <w:ind w:left="1636"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
    <w:nsid w:val="70095355"/>
    <w:multiLevelType w:val="hybridMultilevel"/>
    <w:tmpl w:val="219CB10C"/>
    <w:lvl w:ilvl="0" w:tplc="400A000F">
      <w:start w:val="1"/>
      <w:numFmt w:val="decimal"/>
      <w:lvlText w:val="%1."/>
      <w:lvlJc w:val="left"/>
      <w:pPr>
        <w:ind w:left="360" w:hanging="360"/>
      </w:pPr>
      <w:rPr>
        <w:rFonts w:hint="default"/>
      </w:rPr>
    </w:lvl>
    <w:lvl w:ilvl="1" w:tplc="400A0019">
      <w:start w:val="1"/>
      <w:numFmt w:val="lowerLetter"/>
      <w:lvlText w:val="%2."/>
      <w:lvlJc w:val="left"/>
      <w:pPr>
        <w:ind w:left="1080" w:hanging="360"/>
      </w:pPr>
    </w:lvl>
    <w:lvl w:ilvl="2" w:tplc="400A001B" w:tentative="1">
      <w:start w:val="1"/>
      <w:numFmt w:val="lowerRoman"/>
      <w:lvlText w:val="%3."/>
      <w:lvlJc w:val="right"/>
      <w:pPr>
        <w:ind w:left="1800" w:hanging="180"/>
      </w:pPr>
    </w:lvl>
    <w:lvl w:ilvl="3" w:tplc="400A000F" w:tentative="1">
      <w:start w:val="1"/>
      <w:numFmt w:val="decimal"/>
      <w:lvlText w:val="%4."/>
      <w:lvlJc w:val="left"/>
      <w:pPr>
        <w:ind w:left="2520" w:hanging="360"/>
      </w:pPr>
    </w:lvl>
    <w:lvl w:ilvl="4" w:tplc="400A0019" w:tentative="1">
      <w:start w:val="1"/>
      <w:numFmt w:val="lowerLetter"/>
      <w:lvlText w:val="%5."/>
      <w:lvlJc w:val="left"/>
      <w:pPr>
        <w:ind w:left="3240" w:hanging="360"/>
      </w:pPr>
    </w:lvl>
    <w:lvl w:ilvl="5" w:tplc="400A001B" w:tentative="1">
      <w:start w:val="1"/>
      <w:numFmt w:val="lowerRoman"/>
      <w:lvlText w:val="%6."/>
      <w:lvlJc w:val="right"/>
      <w:pPr>
        <w:ind w:left="3960" w:hanging="180"/>
      </w:pPr>
    </w:lvl>
    <w:lvl w:ilvl="6" w:tplc="400A000F" w:tentative="1">
      <w:start w:val="1"/>
      <w:numFmt w:val="decimal"/>
      <w:lvlText w:val="%7."/>
      <w:lvlJc w:val="left"/>
      <w:pPr>
        <w:ind w:left="4680" w:hanging="360"/>
      </w:pPr>
    </w:lvl>
    <w:lvl w:ilvl="7" w:tplc="400A0019" w:tentative="1">
      <w:start w:val="1"/>
      <w:numFmt w:val="lowerLetter"/>
      <w:lvlText w:val="%8."/>
      <w:lvlJc w:val="left"/>
      <w:pPr>
        <w:ind w:left="5400" w:hanging="360"/>
      </w:pPr>
    </w:lvl>
    <w:lvl w:ilvl="8" w:tplc="400A001B" w:tentative="1">
      <w:start w:val="1"/>
      <w:numFmt w:val="lowerRoman"/>
      <w:lvlText w:val="%9."/>
      <w:lvlJc w:val="right"/>
      <w:pPr>
        <w:ind w:left="612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3764"/>
    <w:rsid w:val="000059F8"/>
    <w:rsid w:val="00060272"/>
    <w:rsid w:val="000D0F49"/>
    <w:rsid w:val="00107E80"/>
    <w:rsid w:val="001C6905"/>
    <w:rsid w:val="001E1E49"/>
    <w:rsid w:val="001F0440"/>
    <w:rsid w:val="002211C9"/>
    <w:rsid w:val="002E04A7"/>
    <w:rsid w:val="0033466C"/>
    <w:rsid w:val="003B666B"/>
    <w:rsid w:val="00545471"/>
    <w:rsid w:val="00552BCF"/>
    <w:rsid w:val="00592435"/>
    <w:rsid w:val="005D36A5"/>
    <w:rsid w:val="005E2168"/>
    <w:rsid w:val="00714EE7"/>
    <w:rsid w:val="007855DE"/>
    <w:rsid w:val="00795B45"/>
    <w:rsid w:val="00833764"/>
    <w:rsid w:val="008803F0"/>
    <w:rsid w:val="00934513"/>
    <w:rsid w:val="009C5E99"/>
    <w:rsid w:val="009D62F5"/>
    <w:rsid w:val="009D6CAA"/>
    <w:rsid w:val="009E4D41"/>
    <w:rsid w:val="009E6E06"/>
    <w:rsid w:val="00A1327B"/>
    <w:rsid w:val="00AA1CB7"/>
    <w:rsid w:val="00AA6519"/>
    <w:rsid w:val="00AC1681"/>
    <w:rsid w:val="00AE12B8"/>
    <w:rsid w:val="00BD1316"/>
    <w:rsid w:val="00CB7FEF"/>
    <w:rsid w:val="00D219A1"/>
    <w:rsid w:val="00D53C46"/>
    <w:rsid w:val="00D74F4B"/>
    <w:rsid w:val="00DA4DC0"/>
    <w:rsid w:val="00DD69B0"/>
    <w:rsid w:val="00E04F2C"/>
    <w:rsid w:val="00F345F4"/>
    <w:rsid w:val="00F46BC9"/>
    <w:rsid w:val="00F51CEF"/>
    <w:rsid w:val="00F80DA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764"/>
    <w:pPr>
      <w:ind w:left="720"/>
      <w:contextualSpacing/>
    </w:pPr>
  </w:style>
  <w:style w:type="paragraph" w:styleId="Textonotapie">
    <w:name w:val="footnote text"/>
    <w:basedOn w:val="Normal"/>
    <w:link w:val="TextonotapieCar"/>
    <w:uiPriority w:val="99"/>
    <w:semiHidden/>
    <w:unhideWhenUsed/>
    <w:rsid w:val="001C69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905"/>
    <w:rPr>
      <w:sz w:val="20"/>
      <w:szCs w:val="20"/>
    </w:rPr>
  </w:style>
  <w:style w:type="character" w:styleId="Refdenotaalpie">
    <w:name w:val="footnote reference"/>
    <w:basedOn w:val="Fuentedeprrafopredeter"/>
    <w:uiPriority w:val="99"/>
    <w:semiHidden/>
    <w:unhideWhenUsed/>
    <w:rsid w:val="001C6905"/>
    <w:rPr>
      <w:vertAlign w:val="superscript"/>
    </w:rPr>
  </w:style>
  <w:style w:type="character" w:styleId="Hipervnculo">
    <w:name w:val="Hyperlink"/>
    <w:basedOn w:val="Fuentedeprrafopredeter"/>
    <w:uiPriority w:val="99"/>
    <w:semiHidden/>
    <w:unhideWhenUsed/>
    <w:rsid w:val="00545471"/>
    <w:rPr>
      <w:color w:val="0000FF"/>
      <w:u w:val="single"/>
    </w:rPr>
  </w:style>
  <w:style w:type="table" w:styleId="Tablaconcuadrcula">
    <w:name w:val="Table Grid"/>
    <w:basedOn w:val="Tablanormal"/>
    <w:uiPriority w:val="59"/>
    <w:rsid w:val="00221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46BC9"/>
    <w:pPr>
      <w:spacing w:after="0" w:line="240" w:lineRule="auto"/>
    </w:pPr>
  </w:style>
  <w:style w:type="paragraph" w:styleId="Textodeglobo">
    <w:name w:val="Balloon Text"/>
    <w:basedOn w:val="Normal"/>
    <w:link w:val="TextodegloboCar"/>
    <w:uiPriority w:val="99"/>
    <w:semiHidden/>
    <w:unhideWhenUsed/>
    <w:rsid w:val="00AE12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2B8"/>
    <w:rPr>
      <w:rFonts w:ascii="Tahoma" w:hAnsi="Tahoma" w:cs="Tahoma"/>
      <w:sz w:val="16"/>
      <w:szCs w:val="16"/>
    </w:rPr>
  </w:style>
  <w:style w:type="paragraph" w:styleId="Encabezado">
    <w:name w:val="header"/>
    <w:basedOn w:val="Normal"/>
    <w:link w:val="EncabezadoCar"/>
    <w:uiPriority w:val="99"/>
    <w:unhideWhenUsed/>
    <w:rsid w:val="003B6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66B"/>
  </w:style>
  <w:style w:type="paragraph" w:styleId="Piedepgina">
    <w:name w:val="footer"/>
    <w:basedOn w:val="Normal"/>
    <w:link w:val="PiedepginaCar"/>
    <w:uiPriority w:val="99"/>
    <w:unhideWhenUsed/>
    <w:rsid w:val="003B6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6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33764"/>
    <w:pPr>
      <w:ind w:left="720"/>
      <w:contextualSpacing/>
    </w:pPr>
  </w:style>
  <w:style w:type="paragraph" w:styleId="Textonotapie">
    <w:name w:val="footnote text"/>
    <w:basedOn w:val="Normal"/>
    <w:link w:val="TextonotapieCar"/>
    <w:uiPriority w:val="99"/>
    <w:semiHidden/>
    <w:unhideWhenUsed/>
    <w:rsid w:val="001C690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C6905"/>
    <w:rPr>
      <w:sz w:val="20"/>
      <w:szCs w:val="20"/>
    </w:rPr>
  </w:style>
  <w:style w:type="character" w:styleId="Refdenotaalpie">
    <w:name w:val="footnote reference"/>
    <w:basedOn w:val="Fuentedeprrafopredeter"/>
    <w:uiPriority w:val="99"/>
    <w:semiHidden/>
    <w:unhideWhenUsed/>
    <w:rsid w:val="001C6905"/>
    <w:rPr>
      <w:vertAlign w:val="superscript"/>
    </w:rPr>
  </w:style>
  <w:style w:type="character" w:styleId="Hipervnculo">
    <w:name w:val="Hyperlink"/>
    <w:basedOn w:val="Fuentedeprrafopredeter"/>
    <w:uiPriority w:val="99"/>
    <w:semiHidden/>
    <w:unhideWhenUsed/>
    <w:rsid w:val="00545471"/>
    <w:rPr>
      <w:color w:val="0000FF"/>
      <w:u w:val="single"/>
    </w:rPr>
  </w:style>
  <w:style w:type="table" w:styleId="Tablaconcuadrcula">
    <w:name w:val="Table Grid"/>
    <w:basedOn w:val="Tablanormal"/>
    <w:uiPriority w:val="59"/>
    <w:rsid w:val="002211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F46BC9"/>
    <w:pPr>
      <w:spacing w:after="0" w:line="240" w:lineRule="auto"/>
    </w:pPr>
  </w:style>
  <w:style w:type="paragraph" w:styleId="Textodeglobo">
    <w:name w:val="Balloon Text"/>
    <w:basedOn w:val="Normal"/>
    <w:link w:val="TextodegloboCar"/>
    <w:uiPriority w:val="99"/>
    <w:semiHidden/>
    <w:unhideWhenUsed/>
    <w:rsid w:val="00AE12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2B8"/>
    <w:rPr>
      <w:rFonts w:ascii="Tahoma" w:hAnsi="Tahoma" w:cs="Tahoma"/>
      <w:sz w:val="16"/>
      <w:szCs w:val="16"/>
    </w:rPr>
  </w:style>
  <w:style w:type="paragraph" w:styleId="Encabezado">
    <w:name w:val="header"/>
    <w:basedOn w:val="Normal"/>
    <w:link w:val="EncabezadoCar"/>
    <w:uiPriority w:val="99"/>
    <w:unhideWhenUsed/>
    <w:rsid w:val="003B666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B666B"/>
  </w:style>
  <w:style w:type="paragraph" w:styleId="Piedepgina">
    <w:name w:val="footer"/>
    <w:basedOn w:val="Normal"/>
    <w:link w:val="PiedepginaCar"/>
    <w:uiPriority w:val="99"/>
    <w:unhideWhenUsed/>
    <w:rsid w:val="003B666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B66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069101">
      <w:bodyDiv w:val="1"/>
      <w:marLeft w:val="0"/>
      <w:marRight w:val="0"/>
      <w:marTop w:val="0"/>
      <w:marBottom w:val="0"/>
      <w:divBdr>
        <w:top w:val="none" w:sz="0" w:space="0" w:color="auto"/>
        <w:left w:val="none" w:sz="0" w:space="0" w:color="auto"/>
        <w:bottom w:val="none" w:sz="0" w:space="0" w:color="auto"/>
        <w:right w:val="none" w:sz="0" w:space="0" w:color="auto"/>
      </w:divBdr>
    </w:div>
    <w:div w:id="691803292">
      <w:bodyDiv w:val="1"/>
      <w:marLeft w:val="0"/>
      <w:marRight w:val="0"/>
      <w:marTop w:val="0"/>
      <w:marBottom w:val="0"/>
      <w:divBdr>
        <w:top w:val="none" w:sz="0" w:space="0" w:color="auto"/>
        <w:left w:val="none" w:sz="0" w:space="0" w:color="auto"/>
        <w:bottom w:val="none" w:sz="0" w:space="0" w:color="auto"/>
        <w:right w:val="none" w:sz="0" w:space="0" w:color="auto"/>
      </w:divBdr>
    </w:div>
    <w:div w:id="712585535">
      <w:bodyDiv w:val="1"/>
      <w:marLeft w:val="0"/>
      <w:marRight w:val="0"/>
      <w:marTop w:val="0"/>
      <w:marBottom w:val="0"/>
      <w:divBdr>
        <w:top w:val="none" w:sz="0" w:space="0" w:color="auto"/>
        <w:left w:val="none" w:sz="0" w:space="0" w:color="auto"/>
        <w:bottom w:val="none" w:sz="0" w:space="0" w:color="auto"/>
        <w:right w:val="none" w:sz="0" w:space="0" w:color="auto"/>
      </w:divBdr>
    </w:div>
    <w:div w:id="812210334">
      <w:bodyDiv w:val="1"/>
      <w:marLeft w:val="0"/>
      <w:marRight w:val="0"/>
      <w:marTop w:val="0"/>
      <w:marBottom w:val="0"/>
      <w:divBdr>
        <w:top w:val="none" w:sz="0" w:space="0" w:color="auto"/>
        <w:left w:val="none" w:sz="0" w:space="0" w:color="auto"/>
        <w:bottom w:val="none" w:sz="0" w:space="0" w:color="auto"/>
        <w:right w:val="none" w:sz="0" w:space="0" w:color="auto"/>
      </w:divBdr>
    </w:div>
    <w:div w:id="838738094">
      <w:bodyDiv w:val="1"/>
      <w:marLeft w:val="0"/>
      <w:marRight w:val="0"/>
      <w:marTop w:val="0"/>
      <w:marBottom w:val="0"/>
      <w:divBdr>
        <w:top w:val="none" w:sz="0" w:space="0" w:color="auto"/>
        <w:left w:val="none" w:sz="0" w:space="0" w:color="auto"/>
        <w:bottom w:val="none" w:sz="0" w:space="0" w:color="auto"/>
        <w:right w:val="none" w:sz="0" w:space="0" w:color="auto"/>
      </w:divBdr>
    </w:div>
    <w:div w:id="1102149164">
      <w:bodyDiv w:val="1"/>
      <w:marLeft w:val="0"/>
      <w:marRight w:val="0"/>
      <w:marTop w:val="0"/>
      <w:marBottom w:val="0"/>
      <w:divBdr>
        <w:top w:val="none" w:sz="0" w:space="0" w:color="auto"/>
        <w:left w:val="none" w:sz="0" w:space="0" w:color="auto"/>
        <w:bottom w:val="none" w:sz="0" w:space="0" w:color="auto"/>
        <w:right w:val="none" w:sz="0" w:space="0" w:color="auto"/>
      </w:divBdr>
    </w:div>
    <w:div w:id="1301108572">
      <w:bodyDiv w:val="1"/>
      <w:marLeft w:val="0"/>
      <w:marRight w:val="0"/>
      <w:marTop w:val="0"/>
      <w:marBottom w:val="0"/>
      <w:divBdr>
        <w:top w:val="none" w:sz="0" w:space="0" w:color="auto"/>
        <w:left w:val="none" w:sz="0" w:space="0" w:color="auto"/>
        <w:bottom w:val="none" w:sz="0" w:space="0" w:color="auto"/>
        <w:right w:val="none" w:sz="0" w:space="0" w:color="auto"/>
      </w:divBdr>
    </w:div>
    <w:div w:id="1313951242">
      <w:bodyDiv w:val="1"/>
      <w:marLeft w:val="0"/>
      <w:marRight w:val="0"/>
      <w:marTop w:val="0"/>
      <w:marBottom w:val="0"/>
      <w:divBdr>
        <w:top w:val="none" w:sz="0" w:space="0" w:color="auto"/>
        <w:left w:val="none" w:sz="0" w:space="0" w:color="auto"/>
        <w:bottom w:val="none" w:sz="0" w:space="0" w:color="auto"/>
        <w:right w:val="none" w:sz="0" w:space="0" w:color="auto"/>
      </w:divBdr>
    </w:div>
    <w:div w:id="1342464586">
      <w:bodyDiv w:val="1"/>
      <w:marLeft w:val="0"/>
      <w:marRight w:val="0"/>
      <w:marTop w:val="0"/>
      <w:marBottom w:val="0"/>
      <w:divBdr>
        <w:top w:val="none" w:sz="0" w:space="0" w:color="auto"/>
        <w:left w:val="none" w:sz="0" w:space="0" w:color="auto"/>
        <w:bottom w:val="none" w:sz="0" w:space="0" w:color="auto"/>
        <w:right w:val="none" w:sz="0" w:space="0" w:color="auto"/>
      </w:divBdr>
    </w:div>
    <w:div w:id="1373529997">
      <w:bodyDiv w:val="1"/>
      <w:marLeft w:val="0"/>
      <w:marRight w:val="0"/>
      <w:marTop w:val="0"/>
      <w:marBottom w:val="0"/>
      <w:divBdr>
        <w:top w:val="none" w:sz="0" w:space="0" w:color="auto"/>
        <w:left w:val="none" w:sz="0" w:space="0" w:color="auto"/>
        <w:bottom w:val="none" w:sz="0" w:space="0" w:color="auto"/>
        <w:right w:val="none" w:sz="0" w:space="0" w:color="auto"/>
      </w:divBdr>
    </w:div>
    <w:div w:id="1423642687">
      <w:bodyDiv w:val="1"/>
      <w:marLeft w:val="0"/>
      <w:marRight w:val="0"/>
      <w:marTop w:val="0"/>
      <w:marBottom w:val="0"/>
      <w:divBdr>
        <w:top w:val="none" w:sz="0" w:space="0" w:color="auto"/>
        <w:left w:val="none" w:sz="0" w:space="0" w:color="auto"/>
        <w:bottom w:val="none" w:sz="0" w:space="0" w:color="auto"/>
        <w:right w:val="none" w:sz="0" w:space="0" w:color="auto"/>
      </w:divBdr>
    </w:div>
    <w:div w:id="1660381584">
      <w:bodyDiv w:val="1"/>
      <w:marLeft w:val="0"/>
      <w:marRight w:val="0"/>
      <w:marTop w:val="0"/>
      <w:marBottom w:val="0"/>
      <w:divBdr>
        <w:top w:val="none" w:sz="0" w:space="0" w:color="auto"/>
        <w:left w:val="none" w:sz="0" w:space="0" w:color="auto"/>
        <w:bottom w:val="none" w:sz="0" w:space="0" w:color="auto"/>
        <w:right w:val="none" w:sz="0" w:space="0" w:color="auto"/>
      </w:divBdr>
      <w:divsChild>
        <w:div w:id="52773237">
          <w:marLeft w:val="0"/>
          <w:marRight w:val="0"/>
          <w:marTop w:val="0"/>
          <w:marBottom w:val="0"/>
          <w:divBdr>
            <w:top w:val="none" w:sz="0" w:space="0" w:color="auto"/>
            <w:left w:val="none" w:sz="0" w:space="0" w:color="auto"/>
            <w:bottom w:val="none" w:sz="0" w:space="0" w:color="auto"/>
            <w:right w:val="none" w:sz="0" w:space="0" w:color="auto"/>
          </w:divBdr>
          <w:divsChild>
            <w:div w:id="1362635312">
              <w:marLeft w:val="0"/>
              <w:marRight w:val="0"/>
              <w:marTop w:val="0"/>
              <w:marBottom w:val="0"/>
              <w:divBdr>
                <w:top w:val="none" w:sz="0" w:space="0" w:color="auto"/>
                <w:left w:val="none" w:sz="0" w:space="0" w:color="auto"/>
                <w:bottom w:val="none" w:sz="0" w:space="0" w:color="auto"/>
                <w:right w:val="none" w:sz="0" w:space="0" w:color="auto"/>
              </w:divBdr>
              <w:divsChild>
                <w:div w:id="867597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1627">
          <w:marLeft w:val="0"/>
          <w:marRight w:val="0"/>
          <w:marTop w:val="0"/>
          <w:marBottom w:val="0"/>
          <w:divBdr>
            <w:top w:val="none" w:sz="0" w:space="0" w:color="auto"/>
            <w:left w:val="none" w:sz="0" w:space="0" w:color="auto"/>
            <w:bottom w:val="none" w:sz="0" w:space="0" w:color="auto"/>
            <w:right w:val="none" w:sz="0" w:space="0" w:color="auto"/>
          </w:divBdr>
        </w:div>
      </w:divsChild>
    </w:div>
    <w:div w:id="1753551843">
      <w:bodyDiv w:val="1"/>
      <w:marLeft w:val="0"/>
      <w:marRight w:val="0"/>
      <w:marTop w:val="0"/>
      <w:marBottom w:val="0"/>
      <w:divBdr>
        <w:top w:val="none" w:sz="0" w:space="0" w:color="auto"/>
        <w:left w:val="none" w:sz="0" w:space="0" w:color="auto"/>
        <w:bottom w:val="none" w:sz="0" w:space="0" w:color="auto"/>
        <w:right w:val="none" w:sz="0" w:space="0" w:color="auto"/>
      </w:divBdr>
    </w:div>
    <w:div w:id="177066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il.unesco.org/es/septima-conferencia-internacional-de-educacion-adultos/mf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uil.unesco.org/es/septima-conferencia-internacional-de-educacion-adultos/mfa"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uil.unesco.org/es/septima-conferencia-internacional-de-educacion-adultos/mf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uil.unesco.org/es/septima-conferencia-internacional-de-educacion-adultos/mfa" TargetMode="External"/><Relationship Id="rId5" Type="http://schemas.openxmlformats.org/officeDocument/2006/relationships/settings" Target="settings.xml"/><Relationship Id="rId15" Type="http://schemas.openxmlformats.org/officeDocument/2006/relationships/hyperlink" Target="https://www.uil.unesco.org/es/septima-conferencia-internacional-de-educacion-adultos/mfa" TargetMode="External"/><Relationship Id="rId10" Type="http://schemas.openxmlformats.org/officeDocument/2006/relationships/hyperlink" Target="https://www.uil.unesco.org/es/septima-conferencia-internacional-de-educacion-adultos/mfa"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www.uil.unesco.org/es/septima-conferencia-internacional-de-educacion-adultos/mfa" TargetMode="External"/><Relationship Id="rId14" Type="http://schemas.openxmlformats.org/officeDocument/2006/relationships/hyperlink" Target="https://www.uil.unesco.org/es/septima-conferencia-internacional-de-educacion-adultos/mf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0AF7-A3B9-4601-9BA3-A4041EBCFD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19</Pages>
  <Words>8556</Words>
  <Characters>47059</Characters>
  <Application>Microsoft Office Word</Application>
  <DocSecurity>0</DocSecurity>
  <Lines>392</Lines>
  <Paragraphs>111</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55504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pavilion</dc:creator>
  <cp:lastModifiedBy>hp pavilion</cp:lastModifiedBy>
  <cp:revision>10</cp:revision>
  <cp:lastPrinted>2022-04-07T03:57:00Z</cp:lastPrinted>
  <dcterms:created xsi:type="dcterms:W3CDTF">2022-04-07T00:40:00Z</dcterms:created>
  <dcterms:modified xsi:type="dcterms:W3CDTF">2022-04-07T11:22:00Z</dcterms:modified>
</cp:coreProperties>
</file>